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9F19C" w14:textId="2F0BEF3A"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BA697C">
        <w:rPr>
          <w:rFonts w:ascii="Arial" w:eastAsia="SimSun" w:hAnsi="Arial" w:cs="Times New Roman"/>
          <w:b/>
          <w:bCs/>
          <w:sz w:val="24"/>
          <w:szCs w:val="20"/>
          <w:lang w:val="en-US" w:eastAsia="ja-JP"/>
        </w:rPr>
        <w:t>R4-</w:t>
      </w:r>
      <w:r w:rsidR="00AE2BA5" w:rsidRPr="00BA697C">
        <w:rPr>
          <w:rFonts w:ascii="Arial" w:eastAsia="SimSun" w:hAnsi="Arial" w:cs="Times New Roman"/>
          <w:b/>
          <w:bCs/>
          <w:sz w:val="24"/>
          <w:szCs w:val="20"/>
          <w:lang w:val="en-US" w:eastAsia="zh-CN"/>
        </w:rPr>
        <w:t>2</w:t>
      </w:r>
      <w:r w:rsidR="00E51930" w:rsidRPr="00BA697C">
        <w:rPr>
          <w:rFonts w:ascii="Arial" w:eastAsia="SimSun" w:hAnsi="Arial" w:cs="Times New Roman"/>
          <w:b/>
          <w:bCs/>
          <w:sz w:val="24"/>
          <w:szCs w:val="20"/>
          <w:lang w:val="en-US" w:eastAsia="zh-CN"/>
        </w:rPr>
        <w:t>4</w:t>
      </w:r>
      <w:r w:rsidR="00BA697C">
        <w:rPr>
          <w:rFonts w:ascii="Arial" w:eastAsia="SimSun" w:hAnsi="Arial" w:cs="Times New Roman"/>
          <w:b/>
          <w:bCs/>
          <w:sz w:val="24"/>
          <w:szCs w:val="20"/>
          <w:lang w:val="en-US" w:eastAsia="zh-CN"/>
        </w:rPr>
        <w:t>15710</w:t>
      </w:r>
    </w:p>
    <w:p w14:paraId="23E6D394"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94F897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2B588221"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D84E9CD" w14:textId="728D561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proofErr w:type="spellStart"/>
      <w:r w:rsidR="00CA05EB">
        <w:rPr>
          <w:rFonts w:ascii="Arial" w:eastAsia="Calibri" w:hAnsi="Arial" w:cs="Arial"/>
          <w:b/>
          <w:bCs/>
          <w:sz w:val="24"/>
          <w:lang w:val="en-US"/>
        </w:rPr>
        <w:t>RedCap</w:t>
      </w:r>
      <w:proofErr w:type="spellEnd"/>
      <w:r w:rsidR="00CA05EB">
        <w:rPr>
          <w:rFonts w:ascii="Arial" w:eastAsia="Calibri" w:hAnsi="Arial" w:cs="Arial"/>
          <w:b/>
          <w:bCs/>
          <w:sz w:val="24"/>
          <w:lang w:val="en-US"/>
        </w:rPr>
        <w:t xml:space="preserve"> NTN UEs</w:t>
      </w:r>
    </w:p>
    <w:p w14:paraId="6F0A580E" w14:textId="50B28507"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A05EB">
        <w:rPr>
          <w:rFonts w:ascii="Arial" w:eastAsia="MS Mincho" w:hAnsi="Arial" w:cs="Arial"/>
          <w:b/>
          <w:bCs/>
          <w:sz w:val="24"/>
          <w:szCs w:val="20"/>
          <w:lang w:val="en-US"/>
        </w:rPr>
        <w:t>6.26.2.1</w:t>
      </w:r>
    </w:p>
    <w:p w14:paraId="7AE0F137"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292CCFC" w14:textId="77777777" w:rsidR="00E323E9" w:rsidRPr="00614DD8" w:rsidRDefault="00E323E9" w:rsidP="00841BCD">
      <w:pPr>
        <w:tabs>
          <w:tab w:val="left" w:pos="1985"/>
        </w:tabs>
        <w:rPr>
          <w:rFonts w:ascii="Arial" w:eastAsia="Calibri" w:hAnsi="Arial" w:cs="Arial"/>
          <w:b/>
          <w:bCs/>
          <w:sz w:val="24"/>
          <w:lang w:val="en-US"/>
        </w:rPr>
      </w:pPr>
    </w:p>
    <w:p w14:paraId="74CE98B7"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59D452B" w14:textId="1915AC8E" w:rsidR="00CA05EB" w:rsidRPr="00614DD8" w:rsidRDefault="00CA05EB" w:rsidP="00CA05EB">
      <w:pPr>
        <w:rPr>
          <w:lang w:val="en-US"/>
        </w:rPr>
      </w:pPr>
      <w:r>
        <w:rPr>
          <w:lang w:val="en-US"/>
        </w:rPr>
        <w:t>In this paper, we provide our views on the s</w:t>
      </w:r>
      <w:r w:rsidRPr="00E721CF">
        <w:rPr>
          <w:lang w:val="en-US"/>
        </w:rPr>
        <w:t>uppor</w:t>
      </w:r>
      <w:r>
        <w:rPr>
          <w:lang w:val="en-US"/>
        </w:rPr>
        <w:t>t</w:t>
      </w:r>
      <w:r w:rsidRPr="00E721CF">
        <w:rPr>
          <w:rFonts w:eastAsia="Malgun Gothic"/>
          <w:lang w:val="en-US" w:eastAsia="ko-KR"/>
        </w:rPr>
        <w:t xml:space="preserve"> </w:t>
      </w:r>
      <w:r w:rsidRPr="009431DD">
        <w:rPr>
          <w:rFonts w:eastAsia="Malgun Gothic"/>
          <w:lang w:val="en-US" w:eastAsia="ko-KR"/>
        </w:rPr>
        <w:t xml:space="preserve">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r>
        <w:rPr>
          <w:rFonts w:eastAsia="Malgun Gothic"/>
          <w:lang w:val="en-US" w:eastAsia="ko-KR"/>
        </w:rPr>
        <w:t xml:space="preserve">. </w:t>
      </w:r>
      <w:proofErr w:type="spellStart"/>
      <w:r>
        <w:rPr>
          <w:rFonts w:eastAsia="Malgun Gothic"/>
          <w:lang w:val="en-US" w:eastAsia="ko-KR"/>
        </w:rPr>
        <w:t>RedCap</w:t>
      </w:r>
      <w:proofErr w:type="spellEnd"/>
      <w:r>
        <w:rPr>
          <w:rFonts w:eastAsia="Malgun Gothic"/>
          <w:lang w:val="en-US" w:eastAsia="ko-KR"/>
        </w:rPr>
        <w:t xml:space="preserve"> specific ob</w:t>
      </w:r>
      <w:r>
        <w:rPr>
          <w:lang w:val="en-US"/>
        </w:rPr>
        <w:t xml:space="preserve">jectives mentioned in the WID </w:t>
      </w:r>
      <w:r>
        <w:rPr>
          <w:lang w:val="en-US"/>
        </w:rPr>
        <w:fldChar w:fldCharType="begin"/>
      </w:r>
      <w:r>
        <w:rPr>
          <w:lang w:val="en-US"/>
        </w:rPr>
        <w:instrText xml:space="preserve"> REF _Ref178760918 \r \h </w:instrText>
      </w:r>
      <w:r>
        <w:rPr>
          <w:lang w:val="en-US"/>
        </w:rPr>
      </w:r>
      <w:r>
        <w:rPr>
          <w:lang w:val="en-US"/>
        </w:rPr>
        <w:fldChar w:fldCharType="separate"/>
      </w:r>
      <w:r>
        <w:rPr>
          <w:lang w:val="en-US"/>
        </w:rPr>
        <w:t>[1]</w:t>
      </w:r>
      <w:r>
        <w:rPr>
          <w:lang w:val="en-US"/>
        </w:rPr>
        <w:fldChar w:fldCharType="end"/>
      </w:r>
      <w:r>
        <w:rPr>
          <w:lang w:val="en-US"/>
        </w:rPr>
        <w:t xml:space="preserve"> are copied below for ease of reading.</w:t>
      </w:r>
    </w:p>
    <w:p w14:paraId="4D733B1E" w14:textId="77777777" w:rsidR="00CA05EB" w:rsidRPr="00614DD8" w:rsidRDefault="00CA05EB" w:rsidP="00CA05EB">
      <w:pPr>
        <w:rPr>
          <w:lang w:val="en-US"/>
        </w:rPr>
      </w:pPr>
      <w:r>
        <w:rPr>
          <w:lang w:val="en-US"/>
        </w:rPr>
        <w:t>Objectives</w:t>
      </w:r>
      <w:r w:rsidRPr="00614DD8">
        <w:rPr>
          <w:lang w:val="en-US"/>
        </w:rPr>
        <w:t>:</w:t>
      </w:r>
    </w:p>
    <w:tbl>
      <w:tblPr>
        <w:tblStyle w:val="TableGrid"/>
        <w:tblW w:w="0" w:type="auto"/>
        <w:tblLook w:val="04A0" w:firstRow="1" w:lastRow="0" w:firstColumn="1" w:lastColumn="0" w:noHBand="0" w:noVBand="1"/>
      </w:tblPr>
      <w:tblGrid>
        <w:gridCol w:w="9617"/>
      </w:tblGrid>
      <w:tr w:rsidR="00CA05EB" w:rsidRPr="00614DD8" w14:paraId="513C6A16" w14:textId="77777777" w:rsidTr="00C80D89">
        <w:tc>
          <w:tcPr>
            <w:tcW w:w="9617" w:type="dxa"/>
          </w:tcPr>
          <w:p w14:paraId="58AFC616" w14:textId="77777777" w:rsidR="00CA05EB" w:rsidRPr="009431DD" w:rsidRDefault="00CA05EB" w:rsidP="00CA05EB">
            <w:pPr>
              <w:numPr>
                <w:ilvl w:val="0"/>
                <w:numId w:val="27"/>
              </w:numPr>
              <w:overflowPunct w:val="0"/>
              <w:autoSpaceDE w:val="0"/>
              <w:autoSpaceDN w:val="0"/>
              <w:adjustRightInd w:val="0"/>
              <w:spacing w:line="276" w:lineRule="auto"/>
              <w:textAlignment w:val="baseline"/>
              <w:rPr>
                <w:rFonts w:eastAsia="Malgun Gothic"/>
                <w:lang w:val="en-US" w:eastAsia="ko-KR"/>
              </w:rPr>
            </w:pPr>
            <w:bookmarkStart w:id="4" w:name="_Hlk166226955"/>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14:paraId="6A4F322D" w14:textId="77777777" w:rsidR="00CA05EB" w:rsidRPr="009431DD" w:rsidRDefault="00CA05EB" w:rsidP="00CA05EB">
            <w:pPr>
              <w:pStyle w:val="ListParagraph"/>
              <w:widowControl w:val="0"/>
              <w:numPr>
                <w:ilvl w:val="0"/>
                <w:numId w:val="28"/>
              </w:numPr>
              <w:spacing w:line="276" w:lineRule="auto"/>
              <w:jc w:val="both"/>
              <w:rPr>
                <w:szCs w:val="20"/>
              </w:rPr>
            </w:pPr>
            <w:r w:rsidRPr="009431DD">
              <w:rPr>
                <w:szCs w:val="20"/>
              </w:rPr>
              <w:t xml:space="preserve">For full-duplex FDD </w:t>
            </w:r>
            <w:proofErr w:type="spellStart"/>
            <w:r w:rsidRPr="009431DD">
              <w:rPr>
                <w:szCs w:val="20"/>
              </w:rPr>
              <w:t>RedCap</w:t>
            </w:r>
            <w:proofErr w:type="spellEnd"/>
            <w:r w:rsidRPr="009431DD">
              <w:rPr>
                <w:szCs w:val="20"/>
              </w:rPr>
              <w:t xml:space="preserve"> and </w:t>
            </w:r>
            <w:proofErr w:type="spellStart"/>
            <w:r w:rsidRPr="009431DD">
              <w:rPr>
                <w:szCs w:val="20"/>
              </w:rPr>
              <w:t>eRedCap</w:t>
            </w:r>
            <w:proofErr w:type="spellEnd"/>
            <w:r w:rsidRPr="009431DD">
              <w:rPr>
                <w:szCs w:val="20"/>
              </w:rPr>
              <w:t xml:space="preserve"> UEs, define the RF and RRM requirements [RAN4]</w:t>
            </w:r>
          </w:p>
          <w:p w14:paraId="7B44CFAC" w14:textId="77777777" w:rsidR="00CA05EB" w:rsidRPr="009431DD" w:rsidRDefault="00CA05EB" w:rsidP="00CA05EB">
            <w:pPr>
              <w:pStyle w:val="ListParagraph"/>
              <w:widowControl w:val="0"/>
              <w:numPr>
                <w:ilvl w:val="0"/>
                <w:numId w:val="28"/>
              </w:numPr>
              <w:spacing w:line="276" w:lineRule="auto"/>
              <w:jc w:val="both"/>
              <w:rPr>
                <w:szCs w:val="20"/>
              </w:rPr>
            </w:pPr>
            <w:r w:rsidRPr="009431DD">
              <w:rPr>
                <w:szCs w:val="20"/>
              </w:rPr>
              <w:t xml:space="preserve">For HD-FDD </w:t>
            </w:r>
            <w:proofErr w:type="spellStart"/>
            <w:r w:rsidRPr="009431DD">
              <w:rPr>
                <w:szCs w:val="20"/>
              </w:rPr>
              <w:t>RedCap</w:t>
            </w:r>
            <w:proofErr w:type="spellEnd"/>
            <w:r w:rsidRPr="009431DD">
              <w:rPr>
                <w:szCs w:val="20"/>
              </w:rPr>
              <w:t xml:space="preserve"> UEs and </w:t>
            </w:r>
            <w:proofErr w:type="spellStart"/>
            <w:r w:rsidRPr="009431DD">
              <w:rPr>
                <w:szCs w:val="20"/>
              </w:rPr>
              <w:t>eRedCap</w:t>
            </w:r>
            <w:proofErr w:type="spellEnd"/>
            <w:r w:rsidRPr="009431DD">
              <w:rPr>
                <w:szCs w:val="20"/>
              </w:rPr>
              <w:t xml:space="preserve"> UEs, check whether any essential changes are needed for their support (i.e. focusing on HD collision rules) by end of Q2/2024 [RAN1]</w:t>
            </w:r>
          </w:p>
          <w:p w14:paraId="19DFE5D5" w14:textId="77777777" w:rsidR="00CA05EB" w:rsidRPr="009431DD" w:rsidRDefault="00CA05EB" w:rsidP="00CA05EB">
            <w:pPr>
              <w:pStyle w:val="ListParagraph"/>
              <w:widowControl w:val="0"/>
              <w:numPr>
                <w:ilvl w:val="1"/>
                <w:numId w:val="28"/>
              </w:numPr>
              <w:spacing w:line="276" w:lineRule="auto"/>
              <w:jc w:val="both"/>
              <w:rPr>
                <w:szCs w:val="20"/>
              </w:rPr>
            </w:pPr>
            <w:r w:rsidRPr="009431DD">
              <w:rPr>
                <w:szCs w:val="20"/>
              </w:rPr>
              <w:t>Depending on feasibility assessment above, define the RF and RRM requirements [RAN4]</w:t>
            </w:r>
          </w:p>
          <w:p w14:paraId="3D80E908" w14:textId="77777777" w:rsidR="00CA05EB" w:rsidRPr="009431DD" w:rsidRDefault="00CA05EB" w:rsidP="00CA05EB">
            <w:pPr>
              <w:pStyle w:val="ListParagraph"/>
              <w:widowControl w:val="0"/>
              <w:numPr>
                <w:ilvl w:val="0"/>
                <w:numId w:val="28"/>
              </w:numPr>
              <w:spacing w:line="276" w:lineRule="auto"/>
              <w:jc w:val="both"/>
              <w:rPr>
                <w:szCs w:val="20"/>
              </w:rPr>
            </w:pPr>
            <w:r w:rsidRPr="009431DD">
              <w:rPr>
                <w:szCs w:val="20"/>
              </w:rPr>
              <w:t>Notes for this objective:</w:t>
            </w:r>
          </w:p>
          <w:p w14:paraId="1578AAC8" w14:textId="77777777" w:rsidR="00CA05EB" w:rsidRPr="00270E4D" w:rsidRDefault="00CA05EB" w:rsidP="00C80D89">
            <w:pPr>
              <w:rPr>
                <w:szCs w:val="20"/>
              </w:rPr>
            </w:pPr>
            <w:r w:rsidRPr="009431DD">
              <w:rPr>
                <w:szCs w:val="20"/>
              </w:rPr>
              <w:t xml:space="preserve">GNSS (Global Navigation Satellite Systems) capabilities and simultaneous GNSS and NR-NTN operation is supported in </w:t>
            </w:r>
            <w:proofErr w:type="spellStart"/>
            <w:r w:rsidRPr="009431DD">
              <w:rPr>
                <w:szCs w:val="20"/>
              </w:rPr>
              <w:t>RedCap</w:t>
            </w:r>
            <w:proofErr w:type="spellEnd"/>
            <w:r w:rsidRPr="009431DD">
              <w:rPr>
                <w:szCs w:val="20"/>
              </w:rPr>
              <w:t>/</w:t>
            </w:r>
            <w:proofErr w:type="spellStart"/>
            <w:r w:rsidRPr="009431DD">
              <w:rPr>
                <w:szCs w:val="20"/>
              </w:rPr>
              <w:t>eRedCap</w:t>
            </w:r>
            <w:proofErr w:type="spellEnd"/>
            <w:r w:rsidRPr="009431DD">
              <w:rPr>
                <w:szCs w:val="20"/>
              </w:rPr>
              <w:t xml:space="preserve"> UE.</w:t>
            </w:r>
          </w:p>
        </w:tc>
      </w:tr>
      <w:bookmarkEnd w:id="4"/>
    </w:tbl>
    <w:p w14:paraId="15BEA703" w14:textId="77777777" w:rsidR="00CA05EB" w:rsidRDefault="00CA05EB" w:rsidP="00CA05EB">
      <w:pPr>
        <w:rPr>
          <w:lang w:val="en-US"/>
        </w:rPr>
      </w:pPr>
    </w:p>
    <w:p w14:paraId="0093639F" w14:textId="2440DF5D" w:rsidR="004E64CC" w:rsidRPr="004E64CC" w:rsidRDefault="00CA05EB" w:rsidP="004E64CC">
      <w:pPr>
        <w:rPr>
          <w:lang w:val="en-US"/>
        </w:rPr>
      </w:pPr>
      <w:r>
        <w:rPr>
          <w:lang w:val="en-US"/>
        </w:rPr>
        <w:t xml:space="preserve">The following agreements were made in the last RAN4#111 meeting </w:t>
      </w:r>
      <w:r>
        <w:rPr>
          <w:lang w:val="en-US"/>
        </w:rPr>
        <w:fldChar w:fldCharType="begin"/>
      </w:r>
      <w:r>
        <w:rPr>
          <w:lang w:val="en-US"/>
        </w:rPr>
        <w:instrText xml:space="preserve"> REF _Ref166227081 \r \h </w:instrText>
      </w:r>
      <w:r>
        <w:rPr>
          <w:lang w:val="en-US"/>
        </w:rPr>
      </w:r>
      <w:r>
        <w:rPr>
          <w:lang w:val="en-US"/>
        </w:rPr>
        <w:fldChar w:fldCharType="separate"/>
      </w:r>
      <w:r>
        <w:rPr>
          <w:lang w:val="en-US"/>
        </w:rPr>
        <w:t>[2]</w:t>
      </w:r>
      <w:r>
        <w:rPr>
          <w:lang w:val="en-US"/>
        </w:rPr>
        <w:fldChar w:fldCharType="end"/>
      </w:r>
      <w:r w:rsidR="004E64CC">
        <w:t xml:space="preserve"> </w:t>
      </w:r>
    </w:p>
    <w:tbl>
      <w:tblPr>
        <w:tblStyle w:val="TableGrid"/>
        <w:tblW w:w="0" w:type="auto"/>
        <w:tblLook w:val="04A0" w:firstRow="1" w:lastRow="0" w:firstColumn="1" w:lastColumn="0" w:noHBand="0" w:noVBand="1"/>
      </w:tblPr>
      <w:tblGrid>
        <w:gridCol w:w="9617"/>
      </w:tblGrid>
      <w:tr w:rsidR="004E64CC" w:rsidRPr="00614DD8" w14:paraId="0B579CA7" w14:textId="77777777" w:rsidTr="00C80D89">
        <w:tc>
          <w:tcPr>
            <w:tcW w:w="9617" w:type="dxa"/>
          </w:tcPr>
          <w:p w14:paraId="7D578860" w14:textId="77777777" w:rsidR="00B64E8A" w:rsidRDefault="00B64E8A" w:rsidP="00B64E8A">
            <w:pPr>
              <w:pStyle w:val="Heading2"/>
              <w:rPr>
                <w:lang w:eastAsia="zh-CN"/>
              </w:rPr>
            </w:pPr>
            <w:r>
              <w:lastRenderedPageBreak/>
              <w:t xml:space="preserve">Issue 1-2: HD-FDD </w:t>
            </w:r>
            <w:proofErr w:type="spellStart"/>
            <w:r>
              <w:t>refsens</w:t>
            </w:r>
            <w:proofErr w:type="spellEnd"/>
            <w:r>
              <w:t xml:space="preserve"> for 2 Rx</w:t>
            </w:r>
          </w:p>
          <w:p w14:paraId="2F93D474" w14:textId="77777777" w:rsidR="00B64E8A" w:rsidRDefault="00B64E8A" w:rsidP="00B64E8A">
            <w:pPr>
              <w:spacing w:after="120"/>
              <w:rPr>
                <w:lang w:eastAsia="zh-CN"/>
              </w:rPr>
            </w:pPr>
            <w:r>
              <w:rPr>
                <w:b/>
                <w:lang w:eastAsia="zh-CN"/>
              </w:rPr>
              <w:t>Agreement</w:t>
            </w:r>
            <w:r>
              <w:rPr>
                <w:lang w:eastAsia="zh-CN"/>
              </w:rPr>
              <w:t>: As baseline</w:t>
            </w:r>
          </w:p>
          <w:p w14:paraId="554A2528" w14:textId="77777777" w:rsidR="00B64E8A" w:rsidRDefault="00B64E8A" w:rsidP="00B64E8A">
            <w:pPr>
              <w:pStyle w:val="ListParagraph"/>
              <w:numPr>
                <w:ilvl w:val="0"/>
                <w:numId w:val="31"/>
              </w:numPr>
              <w:spacing w:after="120" w:line="276" w:lineRule="auto"/>
              <w:contextualSpacing w:val="0"/>
              <w:rPr>
                <w:rFonts w:eastAsia="SimSun"/>
                <w:lang w:eastAsia="zh-CN"/>
              </w:rPr>
            </w:pPr>
            <w:r>
              <w:rPr>
                <w:rFonts w:eastAsia="SimSun"/>
                <w:lang w:eastAsia="zh-CN"/>
              </w:rPr>
              <w:t>n256: 0.5 dB tightening</w:t>
            </w:r>
          </w:p>
          <w:p w14:paraId="18804028" w14:textId="77777777" w:rsidR="00B64E8A" w:rsidRDefault="00B64E8A" w:rsidP="00B64E8A"/>
          <w:p w14:paraId="0B2A0318" w14:textId="77777777" w:rsidR="00B64E8A" w:rsidRDefault="00B64E8A" w:rsidP="00B64E8A">
            <w:pPr>
              <w:pStyle w:val="Heading2"/>
              <w:rPr>
                <w:lang w:eastAsia="zh-CN"/>
              </w:rPr>
            </w:pPr>
            <w:r>
              <w:t>Issue 1-4: Simultaneous operation with GNSS</w:t>
            </w:r>
          </w:p>
          <w:p w14:paraId="65C56AE9" w14:textId="77777777" w:rsidR="00B64E8A" w:rsidRDefault="00B64E8A" w:rsidP="00B64E8A">
            <w:pPr>
              <w:rPr>
                <w:bCs/>
                <w:lang w:eastAsia="zh-CN"/>
              </w:rPr>
            </w:pPr>
            <w:r>
              <w:rPr>
                <w:b/>
                <w:lang w:eastAsia="zh-CN"/>
              </w:rPr>
              <w:t xml:space="preserve">Agreement: </w:t>
            </w:r>
            <w:r>
              <w:rPr>
                <w:bCs/>
                <w:lang w:eastAsia="zh-CN"/>
              </w:rPr>
              <w:t>Further study NR NTN UE simultaneous operation with GNSS considering e.g.</w:t>
            </w:r>
          </w:p>
          <w:p w14:paraId="61A35983" w14:textId="77777777" w:rsidR="00B64E8A" w:rsidRDefault="00B64E8A" w:rsidP="00B64E8A">
            <w:pPr>
              <w:pStyle w:val="ListParagraph"/>
              <w:numPr>
                <w:ilvl w:val="0"/>
                <w:numId w:val="32"/>
              </w:numPr>
              <w:spacing w:line="276" w:lineRule="auto"/>
              <w:rPr>
                <w:bCs/>
                <w:lang w:eastAsia="zh-CN"/>
              </w:rPr>
            </w:pPr>
            <w:r>
              <w:rPr>
                <w:bCs/>
                <w:lang w:eastAsia="zh-CN"/>
              </w:rPr>
              <w:t>Operating bands with UL close to GNSS frequencies (n254, n255)</w:t>
            </w:r>
          </w:p>
          <w:p w14:paraId="52ADF3DE" w14:textId="77777777" w:rsidR="00B64E8A" w:rsidRDefault="00B64E8A" w:rsidP="00B64E8A">
            <w:pPr>
              <w:pStyle w:val="ListParagraph"/>
              <w:numPr>
                <w:ilvl w:val="0"/>
                <w:numId w:val="32"/>
              </w:numPr>
              <w:spacing w:line="276" w:lineRule="auto"/>
              <w:rPr>
                <w:bCs/>
                <w:lang w:eastAsia="zh-CN"/>
              </w:rPr>
            </w:pPr>
            <w:r>
              <w:rPr>
                <w:bCs/>
                <w:lang w:eastAsia="zh-CN"/>
              </w:rPr>
              <w:t>Emissions on GNSS frequencies</w:t>
            </w:r>
          </w:p>
          <w:p w14:paraId="76718075" w14:textId="77777777" w:rsidR="00B64E8A" w:rsidRDefault="00B64E8A" w:rsidP="00B64E8A">
            <w:pPr>
              <w:pStyle w:val="ListParagraph"/>
              <w:numPr>
                <w:ilvl w:val="0"/>
                <w:numId w:val="32"/>
              </w:numPr>
              <w:spacing w:line="276" w:lineRule="auto"/>
              <w:rPr>
                <w:bCs/>
                <w:lang w:eastAsia="zh-CN"/>
              </w:rPr>
            </w:pPr>
            <w:r>
              <w:rPr>
                <w:bCs/>
                <w:lang w:eastAsia="zh-CN"/>
              </w:rPr>
              <w:t>Whether transmission gaps enabling successful GNSS reception are present</w:t>
            </w:r>
          </w:p>
          <w:p w14:paraId="7B5A0F85" w14:textId="77777777" w:rsidR="00B64E8A" w:rsidRDefault="00B64E8A" w:rsidP="00B64E8A">
            <w:pPr>
              <w:pStyle w:val="ListParagraph"/>
              <w:numPr>
                <w:ilvl w:val="0"/>
                <w:numId w:val="32"/>
              </w:numPr>
              <w:spacing w:line="276" w:lineRule="auto"/>
              <w:rPr>
                <w:bCs/>
                <w:lang w:eastAsia="zh-CN"/>
              </w:rPr>
            </w:pPr>
            <w:r>
              <w:rPr>
                <w:bCs/>
                <w:lang w:eastAsia="zh-CN"/>
              </w:rPr>
              <w:t>Potential impact on field performance</w:t>
            </w:r>
          </w:p>
          <w:p w14:paraId="49126DCF" w14:textId="77777777" w:rsidR="00B64E8A" w:rsidRDefault="00B64E8A" w:rsidP="00B64E8A">
            <w:pPr>
              <w:pStyle w:val="ListParagraph"/>
              <w:numPr>
                <w:ilvl w:val="0"/>
                <w:numId w:val="32"/>
              </w:numPr>
              <w:spacing w:line="276" w:lineRule="auto"/>
              <w:rPr>
                <w:bCs/>
                <w:lang w:eastAsia="zh-CN"/>
              </w:rPr>
            </w:pPr>
            <w:r>
              <w:rPr>
                <w:bCs/>
                <w:lang w:eastAsia="zh-CN"/>
              </w:rPr>
              <w:t>Potential need for specification updates, e.g. frequency error</w:t>
            </w:r>
          </w:p>
          <w:p w14:paraId="630B67DA" w14:textId="77777777" w:rsidR="00B64E8A" w:rsidRDefault="00B64E8A" w:rsidP="00B64E8A"/>
          <w:p w14:paraId="479C053D" w14:textId="77777777" w:rsidR="00B64E8A" w:rsidRDefault="00B64E8A" w:rsidP="00B64E8A">
            <w:pPr>
              <w:pStyle w:val="Heading2"/>
            </w:pPr>
            <w:r>
              <w:t>Issue 1-5: Specification updates</w:t>
            </w:r>
          </w:p>
          <w:p w14:paraId="4781D658" w14:textId="77777777" w:rsidR="00B64E8A" w:rsidRDefault="00B64E8A" w:rsidP="00B64E8A">
            <w:pPr>
              <w:rPr>
                <w:b/>
                <w:bCs/>
              </w:rPr>
            </w:pPr>
            <w:r>
              <w:rPr>
                <w:b/>
                <w:bCs/>
              </w:rPr>
              <w:t>Agreement:</w:t>
            </w:r>
          </w:p>
          <w:p w14:paraId="5B08B7FF" w14:textId="77777777" w:rsidR="00B64E8A" w:rsidRDefault="00B64E8A" w:rsidP="00B64E8A">
            <w:pPr>
              <w:pStyle w:val="ListParagraph"/>
              <w:numPr>
                <w:ilvl w:val="0"/>
                <w:numId w:val="33"/>
              </w:numPr>
              <w:spacing w:line="276" w:lineRule="auto"/>
              <w:ind w:left="714" w:hanging="357"/>
              <w:rPr>
                <w:rFonts w:eastAsia="SimSun"/>
                <w:lang w:eastAsia="zh-CN"/>
              </w:rPr>
            </w:pPr>
            <w:r>
              <w:rPr>
                <w:rFonts w:eastAsia="SimSun"/>
                <w:lang w:eastAsia="zh-CN"/>
              </w:rPr>
              <w:t xml:space="preserve">Include information in specification suffix clause on suffix applicability on FR1-NTN, FR2-NTN or both, with </w:t>
            </w:r>
            <w:proofErr w:type="spellStart"/>
            <w:r>
              <w:rPr>
                <w:rFonts w:eastAsia="SimSun"/>
                <w:lang w:eastAsia="zh-CN"/>
              </w:rPr>
              <w:t>RedCap</w:t>
            </w:r>
            <w:proofErr w:type="spellEnd"/>
            <w:r>
              <w:rPr>
                <w:rFonts w:eastAsia="SimSun"/>
                <w:lang w:eastAsia="zh-CN"/>
              </w:rPr>
              <w:t xml:space="preserve"> being applicable to FR1-NTN</w:t>
            </w:r>
          </w:p>
          <w:p w14:paraId="78879D28" w14:textId="77777777" w:rsidR="00B64E8A" w:rsidRDefault="00B64E8A" w:rsidP="00B64E8A">
            <w:pPr>
              <w:pStyle w:val="ListParagraph"/>
              <w:numPr>
                <w:ilvl w:val="0"/>
                <w:numId w:val="33"/>
              </w:numPr>
              <w:spacing w:line="276" w:lineRule="auto"/>
              <w:ind w:left="714" w:hanging="357"/>
              <w:rPr>
                <w:rFonts w:eastAsia="SimSun"/>
                <w:lang w:eastAsia="zh-CN"/>
              </w:rPr>
            </w:pPr>
            <w:r>
              <w:rPr>
                <w:rFonts w:eastAsia="SimSun"/>
                <w:lang w:eastAsia="zh-CN"/>
              </w:rPr>
              <w:t xml:space="preserve">Use suffix I for </w:t>
            </w:r>
            <w:proofErr w:type="spellStart"/>
            <w:r>
              <w:rPr>
                <w:rFonts w:eastAsia="SimSun"/>
                <w:lang w:eastAsia="zh-CN"/>
              </w:rPr>
              <w:t>RedCap</w:t>
            </w:r>
            <w:proofErr w:type="spellEnd"/>
            <w:r>
              <w:rPr>
                <w:rFonts w:eastAsia="SimSun"/>
                <w:lang w:eastAsia="zh-CN"/>
              </w:rPr>
              <w:t>, if accepted by MCC</w:t>
            </w:r>
          </w:p>
          <w:p w14:paraId="05A4FA7A" w14:textId="77777777" w:rsidR="00B64E8A" w:rsidRDefault="00B64E8A" w:rsidP="00B64E8A">
            <w:pPr>
              <w:pStyle w:val="ListParagraph"/>
              <w:numPr>
                <w:ilvl w:val="0"/>
                <w:numId w:val="33"/>
              </w:numPr>
              <w:spacing w:line="276" w:lineRule="auto"/>
              <w:ind w:left="714" w:hanging="357"/>
            </w:pPr>
            <w:r>
              <w:rPr>
                <w:rFonts w:eastAsia="SimSun"/>
                <w:lang w:eastAsia="zh-CN"/>
              </w:rPr>
              <w:t xml:space="preserve">Add a clause on max output power for </w:t>
            </w:r>
            <w:proofErr w:type="spellStart"/>
            <w:r>
              <w:rPr>
                <w:rFonts w:eastAsia="SimSun"/>
                <w:lang w:eastAsia="zh-CN"/>
              </w:rPr>
              <w:t>RedCap</w:t>
            </w:r>
            <w:proofErr w:type="spellEnd"/>
            <w:r>
              <w:rPr>
                <w:rFonts w:eastAsia="SimSun"/>
                <w:lang w:eastAsia="zh-CN"/>
              </w:rPr>
              <w:t xml:space="preserve"> indicating </w:t>
            </w:r>
            <w:proofErr w:type="spellStart"/>
            <w:r>
              <w:rPr>
                <w:rFonts w:eastAsia="SimSun"/>
                <w:lang w:eastAsia="zh-CN"/>
              </w:rPr>
              <w:t>RedCap</w:t>
            </w:r>
            <w:proofErr w:type="spellEnd"/>
            <w:r>
              <w:rPr>
                <w:rFonts w:eastAsia="SimSun"/>
                <w:lang w:eastAsia="zh-CN"/>
              </w:rPr>
              <w:t xml:space="preserve"> supports only PC3, </w:t>
            </w:r>
            <w:proofErr w:type="gramStart"/>
            <w:r>
              <w:rPr>
                <w:rFonts w:eastAsia="SimSun"/>
                <w:lang w:eastAsia="zh-CN"/>
              </w:rPr>
              <w:t>similar to</w:t>
            </w:r>
            <w:proofErr w:type="gramEnd"/>
            <w:r>
              <w:rPr>
                <w:rFonts w:eastAsia="SimSun"/>
                <w:lang w:eastAsia="zh-CN"/>
              </w:rPr>
              <w:t xml:space="preserve"> TN spec 38.101-1 clause 6.2I.1</w:t>
            </w:r>
          </w:p>
          <w:p w14:paraId="2529C003" w14:textId="77777777" w:rsidR="00B64E8A" w:rsidRDefault="00B64E8A" w:rsidP="00B64E8A"/>
          <w:p w14:paraId="4DB7F494" w14:textId="77777777" w:rsidR="00B64E8A" w:rsidRDefault="00B64E8A" w:rsidP="00B64E8A">
            <w:pPr>
              <w:pStyle w:val="Heading2"/>
            </w:pPr>
            <w:r>
              <w:t>Issue 2-1: UL capacity enhancements</w:t>
            </w:r>
          </w:p>
          <w:p w14:paraId="252EA22A" w14:textId="77777777" w:rsidR="00B64E8A" w:rsidRDefault="00B64E8A" w:rsidP="00B64E8A">
            <w:pPr>
              <w:rPr>
                <w:rFonts w:eastAsia="SimSun"/>
                <w:b/>
                <w:bCs/>
              </w:rPr>
            </w:pPr>
            <w:r>
              <w:rPr>
                <w:rFonts w:eastAsia="SimSun"/>
                <w:b/>
                <w:bCs/>
              </w:rPr>
              <w:t>Agreement:</w:t>
            </w:r>
          </w:p>
          <w:p w14:paraId="090FFB47" w14:textId="77777777" w:rsidR="00B64E8A" w:rsidRDefault="00B64E8A" w:rsidP="00B64E8A">
            <w:pPr>
              <w:pStyle w:val="ListParagraph"/>
              <w:numPr>
                <w:ilvl w:val="0"/>
                <w:numId w:val="34"/>
              </w:numPr>
              <w:spacing w:line="276" w:lineRule="auto"/>
              <w:contextualSpacing w:val="0"/>
              <w:rPr>
                <w:rFonts w:eastAsia="SimSun"/>
              </w:rPr>
            </w:pPr>
            <w:r>
              <w:rPr>
                <w:rFonts w:eastAsia="SimSun"/>
              </w:rPr>
              <w:t>Continue evaluation on potential UE RF specification impact</w:t>
            </w:r>
          </w:p>
          <w:p w14:paraId="798C02E2" w14:textId="3A70C4DA" w:rsidR="004E64CC" w:rsidRPr="00B64E8A" w:rsidRDefault="00B64E8A" w:rsidP="00B64E8A">
            <w:pPr>
              <w:pStyle w:val="ListParagraph"/>
              <w:numPr>
                <w:ilvl w:val="1"/>
                <w:numId w:val="34"/>
              </w:numPr>
              <w:spacing w:line="276" w:lineRule="auto"/>
              <w:contextualSpacing w:val="0"/>
            </w:pPr>
            <w:r>
              <w:rPr>
                <w:rFonts w:eastAsia="SimSun"/>
              </w:rPr>
              <w:t>As starting point, no UE RF impact at least from inter-symbol OCC scheme</w:t>
            </w:r>
          </w:p>
        </w:tc>
      </w:tr>
    </w:tbl>
    <w:p w14:paraId="1AF2DA6D" w14:textId="77777777" w:rsidR="0060543D" w:rsidRPr="00614DD8" w:rsidRDefault="0060543D" w:rsidP="005C23A4">
      <w:pPr>
        <w:rPr>
          <w:lang w:val="en-US"/>
        </w:rPr>
      </w:pPr>
    </w:p>
    <w:p w14:paraId="71B259DE" w14:textId="77777777" w:rsidR="003B659E" w:rsidRDefault="003B659E" w:rsidP="00AE56B1">
      <w:pPr>
        <w:pStyle w:val="RAN4H1"/>
        <w:rPr>
          <w:lang w:val="en-US"/>
        </w:rPr>
      </w:pPr>
      <w:bookmarkStart w:id="5" w:name="_Toc116995842"/>
      <w:r w:rsidRPr="00614DD8">
        <w:rPr>
          <w:lang w:val="en-US"/>
        </w:rPr>
        <w:t>Discussion</w:t>
      </w:r>
      <w:bookmarkEnd w:id="5"/>
    </w:p>
    <w:p w14:paraId="2CFFDE2E" w14:textId="02DB1056" w:rsidR="00CB22B2" w:rsidRDefault="00B64E8A" w:rsidP="00496606">
      <w:pPr>
        <w:pStyle w:val="RAN4H2"/>
      </w:pPr>
      <w:r w:rsidRPr="00B64E8A">
        <w:t>HD-FDD REFSENS</w:t>
      </w:r>
      <w:r>
        <w:t xml:space="preserve"> for two RX</w:t>
      </w:r>
    </w:p>
    <w:p w14:paraId="4551BA2A" w14:textId="1A8E809A" w:rsidR="005049A2" w:rsidRDefault="00B64E8A" w:rsidP="008437E9">
      <w:r>
        <w:t xml:space="preserve">In the last meeting, </w:t>
      </w:r>
      <w:r w:rsidR="00845DB0">
        <w:t xml:space="preserve">0.5 dB tightening was </w:t>
      </w:r>
      <w:r>
        <w:t xml:space="preserve">agreed </w:t>
      </w:r>
      <w:r w:rsidR="00845DB0">
        <w:t>for n256</w:t>
      </w:r>
      <w:r w:rsidR="008437E9">
        <w:t>, however</w:t>
      </w:r>
      <w:r w:rsidR="005049A2">
        <w:t>,</w:t>
      </w:r>
      <w:r w:rsidR="008437E9">
        <w:t xml:space="preserve"> the tightening amount for n254 and n255 are still under discussion. Companies have proposed to use 0.5dB for n254 and 0dB for n255 based on the tightening rules that were used for TN </w:t>
      </w:r>
      <w:proofErr w:type="spellStart"/>
      <w:r w:rsidR="008437E9">
        <w:t>RedCap</w:t>
      </w:r>
      <w:proofErr w:type="spellEnd"/>
      <w:r w:rsidR="008437E9">
        <w:t xml:space="preserve"> HD-FDD REFSENS</w:t>
      </w:r>
      <w:r w:rsidR="005049A2">
        <w:t xml:space="preserve"> </w:t>
      </w:r>
      <w:r w:rsidR="005049A2">
        <w:fldChar w:fldCharType="begin"/>
      </w:r>
      <w:r w:rsidR="005049A2">
        <w:instrText xml:space="preserve"> REF _Ref178769324 \r \h </w:instrText>
      </w:r>
      <w:r w:rsidR="005049A2">
        <w:fldChar w:fldCharType="separate"/>
      </w:r>
      <w:r w:rsidR="005049A2">
        <w:t>[3]</w:t>
      </w:r>
      <w:r w:rsidR="005049A2">
        <w:fldChar w:fldCharType="end"/>
      </w:r>
      <w:r w:rsidR="008437E9">
        <w:t xml:space="preserve">. </w:t>
      </w:r>
      <w:r w:rsidR="005049A2">
        <w:fldChar w:fldCharType="begin"/>
      </w:r>
      <w:r w:rsidR="005049A2">
        <w:instrText xml:space="preserve"> REF _Ref178770108 \h </w:instrText>
      </w:r>
      <w:r w:rsidR="005049A2">
        <w:fldChar w:fldCharType="separate"/>
      </w:r>
      <w:r w:rsidR="005049A2">
        <w:t xml:space="preserve">Table </w:t>
      </w:r>
      <w:r w:rsidR="005049A2">
        <w:rPr>
          <w:noProof/>
        </w:rPr>
        <w:t>1</w:t>
      </w:r>
      <w:r w:rsidR="005049A2">
        <w:fldChar w:fldCharType="end"/>
      </w:r>
      <w:r w:rsidR="005049A2">
        <w:t xml:space="preserve"> illustrates the rules for reference.</w:t>
      </w:r>
    </w:p>
    <w:p w14:paraId="591A1A4A" w14:textId="17C0EEAD" w:rsidR="005049A2" w:rsidRDefault="005049A2" w:rsidP="005049A2">
      <w:pPr>
        <w:pStyle w:val="Caption"/>
        <w:keepNext/>
      </w:pPr>
      <w:bookmarkStart w:id="6" w:name="_Ref178770108"/>
      <w:r>
        <w:t xml:space="preserve">Table </w:t>
      </w:r>
      <w:r>
        <w:fldChar w:fldCharType="begin"/>
      </w:r>
      <w:r>
        <w:instrText xml:space="preserve"> SEQ Table \* ARABIC </w:instrText>
      </w:r>
      <w:r>
        <w:fldChar w:fldCharType="separate"/>
      </w:r>
      <w:r>
        <w:rPr>
          <w:noProof/>
        </w:rPr>
        <w:t>1</w:t>
      </w:r>
      <w:r>
        <w:fldChar w:fldCharType="end"/>
      </w:r>
      <w:bookmarkEnd w:id="6"/>
      <w:r>
        <w:t xml:space="preserve"> Proposed REFSENS tightening rules in TN.</w:t>
      </w:r>
    </w:p>
    <w:tbl>
      <w:tblPr>
        <w:tblStyle w:val="TableGrid"/>
        <w:tblW w:w="0" w:type="auto"/>
        <w:jc w:val="center"/>
        <w:tblLook w:val="04A0" w:firstRow="1" w:lastRow="0" w:firstColumn="1" w:lastColumn="0" w:noHBand="0" w:noVBand="1"/>
      </w:tblPr>
      <w:tblGrid>
        <w:gridCol w:w="2425"/>
        <w:gridCol w:w="2610"/>
        <w:gridCol w:w="4050"/>
      </w:tblGrid>
      <w:tr w:rsidR="005049A2" w14:paraId="067C82DE" w14:textId="77777777" w:rsidTr="00C80D89">
        <w:trPr>
          <w:trHeight w:val="288"/>
          <w:jc w:val="center"/>
        </w:trPr>
        <w:tc>
          <w:tcPr>
            <w:tcW w:w="2425" w:type="dxa"/>
            <w:vAlign w:val="center"/>
          </w:tcPr>
          <w:p w14:paraId="77C337B7" w14:textId="77777777" w:rsidR="005049A2" w:rsidRPr="00372E0F" w:rsidRDefault="005049A2" w:rsidP="00C80D89">
            <w:pPr>
              <w:pStyle w:val="BodyText"/>
              <w:rPr>
                <w:lang w:val="en-US"/>
              </w:rPr>
            </w:pPr>
            <w:r w:rsidRPr="00372E0F">
              <w:rPr>
                <w:lang w:val="en-US"/>
              </w:rPr>
              <w:t>FD-FDD 5MHz REFSENS</w:t>
            </w:r>
          </w:p>
        </w:tc>
        <w:tc>
          <w:tcPr>
            <w:tcW w:w="2610" w:type="dxa"/>
            <w:vAlign w:val="center"/>
          </w:tcPr>
          <w:p w14:paraId="173D4E6F" w14:textId="77777777" w:rsidR="005049A2" w:rsidRPr="00372E0F" w:rsidRDefault="005049A2" w:rsidP="00C80D89">
            <w:pPr>
              <w:pStyle w:val="BodyText"/>
              <w:rPr>
                <w:lang w:val="en-US"/>
              </w:rPr>
            </w:pPr>
            <w:r w:rsidRPr="00372E0F">
              <w:rPr>
                <w:lang w:val="en-US"/>
              </w:rPr>
              <w:t>HD-FDD REFSENS Tightening</w:t>
            </w:r>
          </w:p>
        </w:tc>
        <w:tc>
          <w:tcPr>
            <w:tcW w:w="4050" w:type="dxa"/>
            <w:vAlign w:val="center"/>
          </w:tcPr>
          <w:p w14:paraId="25F6C1FB" w14:textId="77777777" w:rsidR="005049A2" w:rsidRPr="00372E0F" w:rsidRDefault="005049A2" w:rsidP="00C80D89">
            <w:pPr>
              <w:pStyle w:val="BodyText"/>
              <w:rPr>
                <w:lang w:val="en-US"/>
              </w:rPr>
            </w:pPr>
            <w:r w:rsidRPr="00372E0F">
              <w:rPr>
                <w:lang w:val="en-US"/>
              </w:rPr>
              <w:t>Bands</w:t>
            </w:r>
          </w:p>
        </w:tc>
      </w:tr>
      <w:tr w:rsidR="005049A2" w14:paraId="3176EA19" w14:textId="77777777" w:rsidTr="00C80D89">
        <w:trPr>
          <w:trHeight w:val="288"/>
          <w:jc w:val="center"/>
        </w:trPr>
        <w:tc>
          <w:tcPr>
            <w:tcW w:w="2425" w:type="dxa"/>
            <w:vAlign w:val="center"/>
          </w:tcPr>
          <w:p w14:paraId="71B53977" w14:textId="77777777" w:rsidR="005049A2" w:rsidRPr="00372E0F" w:rsidRDefault="005049A2" w:rsidP="00C80D89">
            <w:pPr>
              <w:pStyle w:val="BodyText"/>
              <w:rPr>
                <w:lang w:val="en-US"/>
              </w:rPr>
            </w:pPr>
            <w:r w:rsidRPr="00372E0F">
              <w:rPr>
                <w:lang w:val="en-US"/>
              </w:rPr>
              <w:t>≤ -100 dBm</w:t>
            </w:r>
          </w:p>
        </w:tc>
        <w:tc>
          <w:tcPr>
            <w:tcW w:w="2610" w:type="dxa"/>
            <w:vAlign w:val="center"/>
          </w:tcPr>
          <w:p w14:paraId="506A7A9F" w14:textId="77777777" w:rsidR="005049A2" w:rsidRPr="00372E0F" w:rsidRDefault="005049A2" w:rsidP="00C80D89">
            <w:pPr>
              <w:pStyle w:val="BodyText"/>
              <w:rPr>
                <w:lang w:val="en-US"/>
              </w:rPr>
            </w:pPr>
            <w:r w:rsidRPr="00372E0F">
              <w:rPr>
                <w:lang w:val="en-US"/>
              </w:rPr>
              <w:t>0 dB</w:t>
            </w:r>
          </w:p>
        </w:tc>
        <w:tc>
          <w:tcPr>
            <w:tcW w:w="4050" w:type="dxa"/>
            <w:vAlign w:val="center"/>
          </w:tcPr>
          <w:p w14:paraId="1FEF1149" w14:textId="77777777" w:rsidR="005049A2" w:rsidRPr="00372E0F" w:rsidRDefault="005049A2" w:rsidP="00C80D89">
            <w:pPr>
              <w:pStyle w:val="BodyText"/>
              <w:rPr>
                <w:lang w:val="en-US"/>
              </w:rPr>
            </w:pPr>
            <w:r w:rsidRPr="00372E0F">
              <w:rPr>
                <w:lang w:val="en-US"/>
              </w:rPr>
              <w:t>n1, n18, n24, n70</w:t>
            </w:r>
          </w:p>
        </w:tc>
      </w:tr>
      <w:tr w:rsidR="005049A2" w14:paraId="04455C80" w14:textId="77777777" w:rsidTr="00C80D89">
        <w:trPr>
          <w:trHeight w:val="288"/>
          <w:jc w:val="center"/>
        </w:trPr>
        <w:tc>
          <w:tcPr>
            <w:tcW w:w="2425" w:type="dxa"/>
            <w:vAlign w:val="center"/>
          </w:tcPr>
          <w:p w14:paraId="39FF8CFC" w14:textId="77777777" w:rsidR="005049A2" w:rsidRPr="00372E0F" w:rsidRDefault="005049A2" w:rsidP="00C80D89">
            <w:pPr>
              <w:pStyle w:val="BodyText"/>
              <w:rPr>
                <w:lang w:val="en-US"/>
              </w:rPr>
            </w:pPr>
            <w:r w:rsidRPr="00372E0F">
              <w:rPr>
                <w:lang w:val="en-US"/>
              </w:rPr>
              <w:t>&gt; -100 dBm and ≤ -99 dBm</w:t>
            </w:r>
          </w:p>
        </w:tc>
        <w:tc>
          <w:tcPr>
            <w:tcW w:w="2610" w:type="dxa"/>
            <w:vAlign w:val="center"/>
          </w:tcPr>
          <w:p w14:paraId="1BD07977" w14:textId="77777777" w:rsidR="005049A2" w:rsidRPr="00372E0F" w:rsidRDefault="005049A2" w:rsidP="00C80D89">
            <w:pPr>
              <w:pStyle w:val="BodyText"/>
              <w:rPr>
                <w:lang w:val="en-US"/>
              </w:rPr>
            </w:pPr>
            <w:r w:rsidRPr="00372E0F">
              <w:rPr>
                <w:lang w:val="en-US"/>
              </w:rPr>
              <w:t>0.5 dB</w:t>
            </w:r>
          </w:p>
        </w:tc>
        <w:tc>
          <w:tcPr>
            <w:tcW w:w="4050" w:type="dxa"/>
            <w:vAlign w:val="center"/>
          </w:tcPr>
          <w:p w14:paraId="27D07C82" w14:textId="77777777" w:rsidR="005049A2" w:rsidRPr="00372E0F" w:rsidRDefault="005049A2" w:rsidP="00C80D89">
            <w:pPr>
              <w:pStyle w:val="BodyText"/>
              <w:rPr>
                <w:lang w:val="en-US"/>
              </w:rPr>
            </w:pPr>
            <w:r w:rsidRPr="00372E0F">
              <w:rPr>
                <w:lang w:val="en-US"/>
              </w:rPr>
              <w:t>n30, n65, n66, n74</w:t>
            </w:r>
          </w:p>
        </w:tc>
      </w:tr>
      <w:tr w:rsidR="005049A2" w:rsidRPr="000546C1" w14:paraId="35531312" w14:textId="77777777" w:rsidTr="00C80D89">
        <w:trPr>
          <w:trHeight w:val="288"/>
          <w:jc w:val="center"/>
        </w:trPr>
        <w:tc>
          <w:tcPr>
            <w:tcW w:w="2425" w:type="dxa"/>
            <w:vAlign w:val="center"/>
          </w:tcPr>
          <w:p w14:paraId="73FA42BC" w14:textId="77777777" w:rsidR="005049A2" w:rsidRPr="00372E0F" w:rsidRDefault="005049A2" w:rsidP="00C80D89">
            <w:pPr>
              <w:pStyle w:val="BodyText"/>
              <w:rPr>
                <w:lang w:val="en-US"/>
              </w:rPr>
            </w:pPr>
            <w:r w:rsidRPr="00372E0F">
              <w:rPr>
                <w:lang w:val="en-US"/>
              </w:rPr>
              <w:t>&gt; -99 dBm</w:t>
            </w:r>
          </w:p>
        </w:tc>
        <w:tc>
          <w:tcPr>
            <w:tcW w:w="2610" w:type="dxa"/>
            <w:vAlign w:val="center"/>
          </w:tcPr>
          <w:p w14:paraId="62DF14E4" w14:textId="77777777" w:rsidR="005049A2" w:rsidRPr="00372E0F" w:rsidRDefault="005049A2" w:rsidP="00C80D89">
            <w:pPr>
              <w:pStyle w:val="BodyText"/>
              <w:rPr>
                <w:lang w:val="en-US"/>
              </w:rPr>
            </w:pPr>
            <w:r w:rsidRPr="00372E0F">
              <w:rPr>
                <w:lang w:val="en-US"/>
              </w:rPr>
              <w:t>0.8 dB</w:t>
            </w:r>
          </w:p>
        </w:tc>
        <w:tc>
          <w:tcPr>
            <w:tcW w:w="4050" w:type="dxa"/>
            <w:vAlign w:val="center"/>
          </w:tcPr>
          <w:p w14:paraId="23314C91" w14:textId="77777777" w:rsidR="005049A2" w:rsidRPr="00AF638C" w:rsidRDefault="005049A2" w:rsidP="00C80D89">
            <w:pPr>
              <w:pStyle w:val="BodyText"/>
              <w:rPr>
                <w:lang w:val="pt-BR"/>
              </w:rPr>
            </w:pPr>
            <w:r w:rsidRPr="00AF638C">
              <w:rPr>
                <w:lang w:val="pt-BR"/>
              </w:rPr>
              <w:t>n2, n3, n5, n7, n8, n12, n13, n14, n20, n25, n26, n28, n71, n85</w:t>
            </w:r>
          </w:p>
        </w:tc>
      </w:tr>
    </w:tbl>
    <w:p w14:paraId="5868BE12" w14:textId="77777777" w:rsidR="005049A2" w:rsidRDefault="005049A2" w:rsidP="008437E9"/>
    <w:p w14:paraId="116427DC" w14:textId="77777777" w:rsidR="005049A2" w:rsidRDefault="008437E9" w:rsidP="008437E9">
      <w:pPr>
        <w:rPr>
          <w:lang w:val="en-US"/>
        </w:rPr>
      </w:pPr>
      <w:r>
        <w:rPr>
          <w:lang w:val="en-US"/>
        </w:rPr>
        <w:lastRenderedPageBreak/>
        <w:t xml:space="preserve">The reasoning for 0.5dB goes back to almost 10 years old limited survey on insertion loss difference between a SAW RF filter vs SAW duplex filter. As SAW RF filters have less insertion loss compared to SAW duplex filters and since HD-FDD implementations do not need duplex filters, REFSENS can be tightened by 0.5 </w:t>
      </w:r>
      <w:proofErr w:type="spellStart"/>
      <w:r>
        <w:rPr>
          <w:lang w:val="en-US"/>
        </w:rPr>
        <w:t>dB.</w:t>
      </w:r>
      <w:proofErr w:type="spellEnd"/>
      <w:r>
        <w:rPr>
          <w:lang w:val="en-US"/>
        </w:rPr>
        <w:t xml:space="preserve"> </w:t>
      </w:r>
      <w:r w:rsidR="005049A2">
        <w:rPr>
          <w:lang w:val="en-US"/>
        </w:rPr>
        <w:t>Further, the reasoning for 0dB was based on REFSENS of TDD bands.</w:t>
      </w:r>
    </w:p>
    <w:p w14:paraId="583815AF" w14:textId="77777777" w:rsidR="005049A2" w:rsidRPr="005049A2" w:rsidRDefault="005049A2" w:rsidP="005049A2">
      <w:pPr>
        <w:pStyle w:val="RAN4observation0"/>
        <w:ind w:left="284" w:hanging="360"/>
      </w:pPr>
      <w:bookmarkStart w:id="7" w:name="_Toc173444889"/>
      <w:bookmarkStart w:id="8" w:name="_Toc178776606"/>
      <w:r>
        <w:rPr>
          <w:lang w:val="en-US"/>
        </w:rPr>
        <w:t>Reasoning for 0.5dB improvement goes back to almost 10 years old survey on insertion loss differences.</w:t>
      </w:r>
      <w:bookmarkEnd w:id="7"/>
      <w:bookmarkEnd w:id="8"/>
      <w:r>
        <w:rPr>
          <w:lang w:val="en-US"/>
        </w:rPr>
        <w:t xml:space="preserve"> </w:t>
      </w:r>
    </w:p>
    <w:p w14:paraId="479A8BAF" w14:textId="376DFA08" w:rsidR="005049A2" w:rsidRPr="00377FA4" w:rsidRDefault="005049A2" w:rsidP="005049A2">
      <w:pPr>
        <w:pStyle w:val="RAN4observation0"/>
        <w:ind w:left="284" w:hanging="360"/>
      </w:pPr>
      <w:bookmarkStart w:id="9" w:name="_Toc178776607"/>
      <w:r>
        <w:rPr>
          <w:lang w:val="en-US"/>
        </w:rPr>
        <w:t>Reasoning for 0dB tightening was related to REFSESN of TDD bands.</w:t>
      </w:r>
      <w:bookmarkEnd w:id="9"/>
    </w:p>
    <w:p w14:paraId="3F53EC54" w14:textId="37A626CC" w:rsidR="008437E9" w:rsidRDefault="005049A2" w:rsidP="008437E9">
      <w:pPr>
        <w:rPr>
          <w:lang w:val="en-US"/>
        </w:rPr>
      </w:pPr>
      <w:r>
        <w:rPr>
          <w:lang w:val="en-US"/>
        </w:rPr>
        <w:t xml:space="preserve"> We did a limited survey of duplexers, RF filters, and TRX switches for n255 and n254, and noticed that the insertion loss difference ranges from 1.2dB to 2dB.</w:t>
      </w:r>
      <w:r w:rsidR="00D049E2">
        <w:rPr>
          <w:lang w:val="en-US"/>
        </w:rPr>
        <w:t xml:space="preserve"> This observation supports the 0</w:t>
      </w:r>
      <w:r w:rsidR="008437E9">
        <w:rPr>
          <w:lang w:val="en-US"/>
        </w:rPr>
        <w:t xml:space="preserve">.8dB number </w:t>
      </w:r>
      <w:r w:rsidR="00D049E2">
        <w:rPr>
          <w:lang w:val="en-US"/>
        </w:rPr>
        <w:t xml:space="preserve">that was proposed under </w:t>
      </w:r>
      <w:r w:rsidR="008437E9">
        <w:rPr>
          <w:lang w:val="en-US"/>
        </w:rPr>
        <w:t xml:space="preserve">more recent discussions done under Release 17 </w:t>
      </w:r>
      <w:proofErr w:type="spellStart"/>
      <w:r w:rsidR="008437E9">
        <w:rPr>
          <w:lang w:val="en-US"/>
        </w:rPr>
        <w:t>RedCap</w:t>
      </w:r>
      <w:proofErr w:type="spellEnd"/>
      <w:r w:rsidR="008437E9">
        <w:rPr>
          <w:lang w:val="en-US"/>
        </w:rPr>
        <w:t xml:space="preserve"> for HD-FDD case. Given that lot of improvement in device technology has happened over last 10 years, it is possible to leverage that improvement for improving the REFSENS.</w:t>
      </w:r>
    </w:p>
    <w:p w14:paraId="179427FC" w14:textId="3A2B0208" w:rsidR="008437E9" w:rsidRDefault="00D049E2" w:rsidP="00D049E2">
      <w:pPr>
        <w:pStyle w:val="RAN4observation0"/>
        <w:rPr>
          <w:lang w:val="en-US"/>
        </w:rPr>
      </w:pPr>
      <w:bookmarkStart w:id="10" w:name="_Toc178776608"/>
      <w:r>
        <w:rPr>
          <w:lang w:val="en-US"/>
        </w:rPr>
        <w:t>Recent survey on RF components showed that insertion loss difference ranges from 1.2dB to 2dB.</w:t>
      </w:r>
      <w:bookmarkEnd w:id="10"/>
    </w:p>
    <w:p w14:paraId="03437B8D" w14:textId="77777777" w:rsidR="00D049E2" w:rsidRDefault="00D049E2" w:rsidP="00D049E2">
      <w:r>
        <w:rPr>
          <w:lang w:val="en-US"/>
        </w:rPr>
        <w:t xml:space="preserve">Further, there are no TDD NTN bands, so </w:t>
      </w:r>
      <w:r w:rsidRPr="00D049E2">
        <w:t>utilizing TDD bands as an excuse for inaction hinder</w:t>
      </w:r>
      <w:r>
        <w:t>s</w:t>
      </w:r>
      <w:r w:rsidRPr="00D049E2">
        <w:t xml:space="preserve"> overall system efficiency</w:t>
      </w:r>
      <w:r>
        <w:t xml:space="preserve"> and improvements.</w:t>
      </w:r>
    </w:p>
    <w:p w14:paraId="66738615" w14:textId="50B99ED7" w:rsidR="00D049E2" w:rsidRDefault="00D049E2" w:rsidP="00D049E2">
      <w:pPr>
        <w:pStyle w:val="RAN4observation0"/>
        <w:rPr>
          <w:lang w:val="en-US"/>
        </w:rPr>
      </w:pPr>
      <w:bookmarkStart w:id="11" w:name="_Toc178776609"/>
      <w:r>
        <w:t>There are no TDD bands in NTN, so sticking to 0dB tightening is unjustified.</w:t>
      </w:r>
      <w:bookmarkEnd w:id="11"/>
    </w:p>
    <w:p w14:paraId="7B05D33A" w14:textId="04A25D27" w:rsidR="00D049E2" w:rsidRPr="00D049E2" w:rsidRDefault="00D049E2" w:rsidP="00D049E2">
      <w:pPr>
        <w:pStyle w:val="RAN4proposal"/>
        <w:rPr>
          <w:lang w:val="en-US"/>
        </w:rPr>
      </w:pPr>
      <w:bookmarkStart w:id="12" w:name="_Toc178776610"/>
      <w:r>
        <w:rPr>
          <w:lang w:val="en-US"/>
        </w:rPr>
        <w:t>Utilize 0.8dB of tightening for both n255 and n254.</w:t>
      </w:r>
      <w:bookmarkEnd w:id="12"/>
    </w:p>
    <w:p w14:paraId="1EE217C6" w14:textId="77777777" w:rsidR="007D6906" w:rsidRDefault="005D4DFA" w:rsidP="007D6906">
      <w:pPr>
        <w:pStyle w:val="RAN4H2"/>
        <w:rPr>
          <w:rFonts w:eastAsia="SimSun"/>
          <w:lang w:val="en-US"/>
        </w:rPr>
      </w:pPr>
      <w:bookmarkStart w:id="13" w:name="_Toc116995848"/>
      <w:r>
        <w:t>Simultaneous operation with GNSS</w:t>
      </w:r>
    </w:p>
    <w:p w14:paraId="1341BF57" w14:textId="7971A5DE" w:rsidR="00EE23F6" w:rsidRDefault="007D6906" w:rsidP="00EE23F6">
      <w:pPr>
        <w:rPr>
          <w:lang w:eastAsia="zh-CN"/>
        </w:rPr>
      </w:pPr>
      <w:r>
        <w:rPr>
          <w:lang w:val="en-US"/>
        </w:rPr>
        <w:t xml:space="preserve">During last meeting, </w:t>
      </w:r>
      <w:r w:rsidR="005E1565">
        <w:rPr>
          <w:lang w:val="en-US"/>
        </w:rPr>
        <w:t xml:space="preserve">concerns were </w:t>
      </w:r>
      <w:r>
        <w:rPr>
          <w:lang w:val="en-US"/>
        </w:rPr>
        <w:t xml:space="preserve">raised </w:t>
      </w:r>
      <w:r w:rsidR="005E1565">
        <w:rPr>
          <w:lang w:val="en-US"/>
        </w:rPr>
        <w:t xml:space="preserve">regarding simultaneous operation of NTN </w:t>
      </w:r>
      <w:proofErr w:type="spellStart"/>
      <w:r w:rsidR="005E1565">
        <w:rPr>
          <w:lang w:val="en-US"/>
        </w:rPr>
        <w:t>RedCap</w:t>
      </w:r>
      <w:proofErr w:type="spellEnd"/>
      <w:r w:rsidR="005E1565">
        <w:rPr>
          <w:lang w:val="en-US"/>
        </w:rPr>
        <w:t xml:space="preserve"> devices with GNSS given the overlap of n254 </w:t>
      </w:r>
      <w:r w:rsidR="00EE23F6">
        <w:rPr>
          <w:lang w:val="en-US"/>
        </w:rPr>
        <w:t xml:space="preserve">UL </w:t>
      </w:r>
      <w:r w:rsidR="005E1565">
        <w:rPr>
          <w:lang w:val="en-US"/>
        </w:rPr>
        <w:t xml:space="preserve">and n255 </w:t>
      </w:r>
      <w:r w:rsidR="00EE23F6">
        <w:rPr>
          <w:lang w:val="en-US"/>
        </w:rPr>
        <w:t xml:space="preserve">DL </w:t>
      </w:r>
      <w:r w:rsidR="005E1565">
        <w:rPr>
          <w:lang w:val="en-US"/>
        </w:rPr>
        <w:t>with several of GNSS</w:t>
      </w:r>
      <w:r w:rsidR="005D4DFA" w:rsidRPr="007D6906">
        <w:rPr>
          <w:lang w:val="en-US"/>
        </w:rPr>
        <w:t xml:space="preserve"> </w:t>
      </w:r>
      <w:r w:rsidR="005E1565">
        <w:rPr>
          <w:lang w:val="en-US"/>
        </w:rPr>
        <w:t xml:space="preserve">frequencies.  </w:t>
      </w:r>
      <w:r w:rsidR="00EE23F6">
        <w:rPr>
          <w:color w:val="000000" w:themeColor="text1"/>
          <w:lang w:eastAsia="zh-CN"/>
        </w:rPr>
        <w:t xml:space="preserve">While RAN4 worked on introducing support for </w:t>
      </w:r>
      <w:r w:rsidR="00EE23F6">
        <w:rPr>
          <w:lang w:eastAsia="zh-CN"/>
        </w:rPr>
        <w:t>NTN band n255, potential issues with co-existence with GNSS were raised and agreement was reached by RAN4 that protection of GNSS shall be ensured given it is a managed spectrum by the license holder.</w:t>
      </w:r>
    </w:p>
    <w:p w14:paraId="2009B369" w14:textId="77777777" w:rsidR="001E26AB" w:rsidRDefault="00EE23F6" w:rsidP="001E26AB">
      <w:pPr>
        <w:pStyle w:val="RAN4observation0"/>
        <w:numPr>
          <w:ilvl w:val="0"/>
          <w:numId w:val="0"/>
        </w:numPr>
        <w:rPr>
          <w:lang w:eastAsia="zh-CN"/>
        </w:rPr>
      </w:pPr>
      <w:bookmarkStart w:id="14" w:name="_Toc178776611"/>
      <w:r>
        <w:rPr>
          <w:lang w:eastAsia="zh-CN"/>
        </w:rPr>
        <w:t xml:space="preserve">Further, regarding issues with n254 UL, it was a problem with normal NTN UEs too and mechanisms were discussed </w:t>
      </w:r>
      <w:r w:rsidR="0056531E">
        <w:t xml:space="preserve">under the WI </w:t>
      </w:r>
      <w:r w:rsidR="0056531E" w:rsidRPr="002A6766">
        <w:t>In-Device Co-existence (IDC) enhancements for NR and MR-DC</w:t>
      </w:r>
      <w:r w:rsidR="0056531E">
        <w:t xml:space="preserve"> </w:t>
      </w:r>
      <w:r w:rsidR="0056531E">
        <w:fldChar w:fldCharType="begin"/>
      </w:r>
      <w:r w:rsidR="0056531E">
        <w:instrText xml:space="preserve"> REF _Ref178775278 \n \h </w:instrText>
      </w:r>
      <w:r w:rsidR="0056531E">
        <w:fldChar w:fldCharType="separate"/>
      </w:r>
      <w:r w:rsidR="0056531E">
        <w:t>[4]</w:t>
      </w:r>
      <w:r w:rsidR="0056531E">
        <w:fldChar w:fldCharType="end"/>
      </w:r>
      <w:r w:rsidR="0056531E">
        <w:t>.</w:t>
      </w:r>
      <w:bookmarkEnd w:id="14"/>
      <w:r w:rsidR="0056531E">
        <w:t xml:space="preserve"> </w:t>
      </w:r>
      <w:r>
        <w:rPr>
          <w:lang w:eastAsia="zh-CN"/>
        </w:rPr>
        <w:t xml:space="preserve"> </w:t>
      </w:r>
      <w:bookmarkStart w:id="15" w:name="_Toc132016951"/>
    </w:p>
    <w:p w14:paraId="3CCFD9B2" w14:textId="0AF62582" w:rsidR="0056531E" w:rsidRPr="0056531E" w:rsidRDefault="0056531E" w:rsidP="001E26AB">
      <w:pPr>
        <w:pStyle w:val="RAN4observation0"/>
        <w:rPr>
          <w:color w:val="000000" w:themeColor="text1"/>
          <w:lang w:eastAsia="zh-CN"/>
        </w:rPr>
      </w:pPr>
      <w:bookmarkStart w:id="16" w:name="_Toc178776612"/>
      <w:r>
        <w:rPr>
          <w:lang w:eastAsia="zh-CN"/>
        </w:rPr>
        <w:t>RAN4 have agreement that protection of GNSS shall be ensured</w:t>
      </w:r>
      <w:bookmarkEnd w:id="15"/>
      <w:r>
        <w:rPr>
          <w:lang w:eastAsia="zh-CN"/>
        </w:rPr>
        <w:t>.</w:t>
      </w:r>
      <w:bookmarkEnd w:id="16"/>
      <w:r>
        <w:rPr>
          <w:lang w:eastAsia="zh-CN"/>
        </w:rPr>
        <w:t xml:space="preserve"> </w:t>
      </w:r>
    </w:p>
    <w:p w14:paraId="6A233ADF" w14:textId="646671F7" w:rsidR="0056531E" w:rsidRDefault="0056531E" w:rsidP="0056531E">
      <w:pPr>
        <w:pStyle w:val="RAN4observation0"/>
        <w:rPr>
          <w:lang w:eastAsia="zh-CN"/>
        </w:rPr>
      </w:pPr>
      <w:bookmarkStart w:id="17" w:name="_Toc178776613"/>
      <w:r>
        <w:rPr>
          <w:lang w:eastAsia="zh-CN"/>
        </w:rPr>
        <w:t xml:space="preserve">UL in n254 was </w:t>
      </w:r>
      <w:r w:rsidR="001E26AB">
        <w:rPr>
          <w:lang w:eastAsia="zh-CN"/>
        </w:rPr>
        <w:t>discussed</w:t>
      </w:r>
      <w:r>
        <w:rPr>
          <w:lang w:eastAsia="zh-CN"/>
        </w:rPr>
        <w:t xml:space="preserve"> for NTN UEs and was tackled under IDC co-existence WI.</w:t>
      </w:r>
      <w:bookmarkEnd w:id="17"/>
    </w:p>
    <w:p w14:paraId="5A401FFD" w14:textId="77777777" w:rsidR="001E26AB" w:rsidRDefault="001E26AB" w:rsidP="001E26AB">
      <w:pPr>
        <w:rPr>
          <w:lang w:eastAsia="zh-CN"/>
        </w:rPr>
      </w:pPr>
      <w:r>
        <w:rPr>
          <w:lang w:eastAsia="zh-CN"/>
        </w:rPr>
        <w:t xml:space="preserve">Further, the WID clearly specifies simultaneous GNSS and NR-NTN operation by NTN </w:t>
      </w:r>
      <w:proofErr w:type="spellStart"/>
      <w:r>
        <w:rPr>
          <w:lang w:eastAsia="zh-CN"/>
        </w:rPr>
        <w:t>RedCap</w:t>
      </w:r>
      <w:proofErr w:type="spellEnd"/>
      <w:r>
        <w:rPr>
          <w:lang w:eastAsia="zh-CN"/>
        </w:rPr>
        <w:t xml:space="preserve"> and </w:t>
      </w:r>
      <w:proofErr w:type="spellStart"/>
      <w:r>
        <w:rPr>
          <w:lang w:eastAsia="zh-CN"/>
        </w:rPr>
        <w:t>eRedCap</w:t>
      </w:r>
      <w:proofErr w:type="spellEnd"/>
      <w:r>
        <w:rPr>
          <w:lang w:eastAsia="zh-CN"/>
        </w:rPr>
        <w:t xml:space="preserve"> UEs, so our understanding is that no special handling </w:t>
      </w:r>
      <w:proofErr w:type="gramStart"/>
      <w:r>
        <w:rPr>
          <w:lang w:eastAsia="zh-CN"/>
        </w:rPr>
        <w:t>has to</w:t>
      </w:r>
      <w:proofErr w:type="gramEnd"/>
      <w:r>
        <w:rPr>
          <w:lang w:eastAsia="zh-CN"/>
        </w:rPr>
        <w:t xml:space="preserve"> be done in the specifications and UE implementation can deal with it.</w:t>
      </w:r>
    </w:p>
    <w:p w14:paraId="431541EB" w14:textId="15D4D474" w:rsidR="005E1565" w:rsidRDefault="001E26AB" w:rsidP="001E26AB">
      <w:pPr>
        <w:pStyle w:val="RAN4proposal"/>
        <w:rPr>
          <w:color w:val="000000" w:themeColor="text1"/>
          <w:lang w:eastAsia="zh-CN"/>
        </w:rPr>
      </w:pPr>
      <w:bookmarkStart w:id="18" w:name="_Toc178776614"/>
      <w:r>
        <w:rPr>
          <w:lang w:eastAsia="zh-CN"/>
        </w:rPr>
        <w:t xml:space="preserve">No impact to RAN4 regarding simultaneous operation of </w:t>
      </w:r>
      <w:proofErr w:type="spellStart"/>
      <w:r>
        <w:rPr>
          <w:lang w:eastAsia="zh-CN"/>
        </w:rPr>
        <w:t>RedCap</w:t>
      </w:r>
      <w:proofErr w:type="spellEnd"/>
      <w:r>
        <w:rPr>
          <w:lang w:eastAsia="zh-CN"/>
        </w:rPr>
        <w:t>/</w:t>
      </w:r>
      <w:proofErr w:type="spellStart"/>
      <w:r>
        <w:rPr>
          <w:lang w:eastAsia="zh-CN"/>
        </w:rPr>
        <w:t>eRedCap</w:t>
      </w:r>
      <w:proofErr w:type="spellEnd"/>
      <w:r>
        <w:rPr>
          <w:lang w:eastAsia="zh-CN"/>
        </w:rPr>
        <w:t xml:space="preserve"> NTN UEs with GNSS.</w:t>
      </w:r>
      <w:bookmarkEnd w:id="18"/>
      <w:r w:rsidR="005E1565">
        <w:rPr>
          <w:lang w:eastAsia="zh-CN"/>
        </w:rPr>
        <w:t xml:space="preserve"> </w:t>
      </w:r>
    </w:p>
    <w:p w14:paraId="6ED9A2C7" w14:textId="77777777" w:rsidR="001E26AB" w:rsidRPr="009C2CDB" w:rsidRDefault="001E26AB" w:rsidP="001E26AB">
      <w:pPr>
        <w:pStyle w:val="RAN4H2"/>
        <w:rPr>
          <w:lang w:val="en-US"/>
        </w:rPr>
      </w:pPr>
      <w:r>
        <w:rPr>
          <w:lang w:val="en-US"/>
        </w:rPr>
        <w:t>PC3 power level</w:t>
      </w:r>
    </w:p>
    <w:p w14:paraId="50D44E08" w14:textId="53BA0081" w:rsidR="001E26AB" w:rsidRDefault="001E26AB" w:rsidP="001E26AB">
      <w:r>
        <w:rPr>
          <w:lang w:val="en-US"/>
        </w:rPr>
        <w:t xml:space="preserve">In RAN4#112, it was proposed to increase the tolerance level of </w:t>
      </w:r>
      <w:r>
        <w:t xml:space="preserve">PC3 for NTN </w:t>
      </w:r>
      <w:proofErr w:type="spellStart"/>
      <w:r>
        <w:t>RedCap</w:t>
      </w:r>
      <w:proofErr w:type="spellEnd"/>
      <w:r>
        <w:t xml:space="preserve"> UE which only supports HD-FDD operation from +2 to +2.8 </w:t>
      </w:r>
      <w:proofErr w:type="spellStart"/>
      <w:r>
        <w:t>dB.</w:t>
      </w:r>
      <w:proofErr w:type="spellEnd"/>
      <w:r>
        <w:t xml:space="preserve"> The reasoning for this was related to hardware implementation. In our opinion, although it is beneficial to have higher output power, doing so in the specification by changing the nominal value for PC3 is not a good way. A better way would be via introduction of a new power class</w:t>
      </w:r>
      <w:r>
        <w:rPr>
          <w:lang w:val="en-US"/>
        </w:rPr>
        <w:t>, for which work should be defined in the WID.</w:t>
      </w:r>
    </w:p>
    <w:p w14:paraId="649A00D1" w14:textId="77777777" w:rsidR="001E26AB" w:rsidRDefault="001E26AB" w:rsidP="001E26AB">
      <w:pPr>
        <w:pStyle w:val="RAN4observation0"/>
        <w:ind w:left="284" w:hanging="360"/>
        <w:rPr>
          <w:lang w:val="en-US"/>
        </w:rPr>
      </w:pPr>
      <w:bookmarkStart w:id="19" w:name="_Toc173444893"/>
      <w:bookmarkStart w:id="20" w:name="_Toc178776615"/>
      <w:r>
        <w:rPr>
          <w:lang w:val="en-US"/>
        </w:rPr>
        <w:t>Changing PC3 level for HD-FDD in NTN context is not a good approach.</w:t>
      </w:r>
      <w:bookmarkEnd w:id="19"/>
      <w:bookmarkEnd w:id="20"/>
      <w:r>
        <w:rPr>
          <w:lang w:val="en-US"/>
        </w:rPr>
        <w:t xml:space="preserve"> </w:t>
      </w:r>
    </w:p>
    <w:p w14:paraId="79833D14" w14:textId="77777777" w:rsidR="001E26AB" w:rsidRPr="00614DD8" w:rsidRDefault="001E26AB" w:rsidP="001E26AB">
      <w:pPr>
        <w:pStyle w:val="RAN4proposal"/>
        <w:rPr>
          <w:lang w:val="en-US"/>
        </w:rPr>
      </w:pPr>
      <w:bookmarkStart w:id="21" w:name="_Toc173444896"/>
      <w:bookmarkStart w:id="22" w:name="_Toc178776616"/>
      <w:r>
        <w:rPr>
          <w:lang w:val="en-US"/>
        </w:rPr>
        <w:t>PC3 power level should be the same in NTN and TN context.</w:t>
      </w:r>
      <w:bookmarkEnd w:id="21"/>
      <w:bookmarkEnd w:id="22"/>
    </w:p>
    <w:p w14:paraId="505B94DD" w14:textId="77777777" w:rsidR="00CD7492" w:rsidRPr="00614DD8" w:rsidRDefault="00CD7492" w:rsidP="00A37002">
      <w:pPr>
        <w:pStyle w:val="RAN4H1"/>
        <w:rPr>
          <w:lang w:val="en-US"/>
        </w:rPr>
      </w:pPr>
      <w:r w:rsidRPr="00614DD8">
        <w:rPr>
          <w:lang w:val="en-US"/>
        </w:rPr>
        <w:t>Conclusion</w:t>
      </w:r>
      <w:bookmarkEnd w:id="13"/>
    </w:p>
    <w:p w14:paraId="2BB1C16F" w14:textId="1884AB0A" w:rsidR="00381F95" w:rsidRPr="00614DD8" w:rsidRDefault="00381F95" w:rsidP="00936159">
      <w:pPr>
        <w:rPr>
          <w:lang w:val="en-US"/>
        </w:rPr>
      </w:pPr>
      <w:r w:rsidRPr="00614DD8">
        <w:rPr>
          <w:lang w:val="en-US"/>
        </w:rPr>
        <w:t xml:space="preserve">The </w:t>
      </w:r>
      <w:r w:rsidR="005B4801" w:rsidRPr="00614DD8">
        <w:rPr>
          <w:lang w:val="en-US"/>
        </w:rPr>
        <w:t xml:space="preserve">following Observations </w:t>
      </w:r>
      <w:r w:rsidR="008B0961" w:rsidRPr="00614DD8">
        <w:rPr>
          <w:lang w:val="en-US"/>
        </w:rPr>
        <w:t>and</w:t>
      </w:r>
      <w:r w:rsidR="005B4801" w:rsidRPr="00614DD8">
        <w:rPr>
          <w:lang w:val="en-US"/>
        </w:rPr>
        <w:t xml:space="preserve"> Proposals were made</w:t>
      </w:r>
      <w:r w:rsidR="005D4DFA">
        <w:rPr>
          <w:lang w:val="en-US"/>
        </w:rPr>
        <w:t xml:space="preserve"> in this paper</w:t>
      </w:r>
      <w:r w:rsidR="005B4801" w:rsidRPr="00614DD8">
        <w:rPr>
          <w:lang w:val="en-US"/>
        </w:rPr>
        <w:t>:</w:t>
      </w:r>
    </w:p>
    <w:p w14:paraId="4A5BDA9C" w14:textId="554F53EF" w:rsidR="0087423A"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8776606" w:history="1">
        <w:r w:rsidR="0087423A" w:rsidRPr="00E81B25">
          <w:rPr>
            <w:rStyle w:val="Hyperlink"/>
            <w:b/>
            <w:noProof/>
          </w:rPr>
          <w:t>Observation 1:</w:t>
        </w:r>
        <w:r w:rsidR="0087423A" w:rsidRPr="00E81B25">
          <w:rPr>
            <w:rStyle w:val="Hyperlink"/>
            <w:noProof/>
            <w:lang w:val="en-US"/>
          </w:rPr>
          <w:t xml:space="preserve"> Reasoning for 0.5dB improvement goes back to almost 10 years old survey on insertion loss differences.</w:t>
        </w:r>
      </w:hyperlink>
    </w:p>
    <w:p w14:paraId="40DE63AB" w14:textId="30203B97" w:rsidR="0087423A" w:rsidRDefault="009526C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8776607" w:history="1">
        <w:r w:rsidR="0087423A" w:rsidRPr="00E81B25">
          <w:rPr>
            <w:rStyle w:val="Hyperlink"/>
            <w:b/>
            <w:noProof/>
          </w:rPr>
          <w:t>Observation 2:</w:t>
        </w:r>
        <w:r w:rsidR="0087423A" w:rsidRPr="00E81B25">
          <w:rPr>
            <w:rStyle w:val="Hyperlink"/>
            <w:noProof/>
            <w:lang w:val="en-US"/>
          </w:rPr>
          <w:t xml:space="preserve"> Reasoning for 0dB tightening was related to REFSESN of TDD bands.</w:t>
        </w:r>
      </w:hyperlink>
    </w:p>
    <w:p w14:paraId="2EA27E86" w14:textId="55350123" w:rsidR="0087423A" w:rsidRDefault="009526C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8776608" w:history="1">
        <w:r w:rsidR="0087423A" w:rsidRPr="00E81B25">
          <w:rPr>
            <w:rStyle w:val="Hyperlink"/>
            <w:b/>
            <w:noProof/>
            <w:lang w:val="en-US"/>
          </w:rPr>
          <w:t>Observation 3:</w:t>
        </w:r>
        <w:r w:rsidR="0087423A" w:rsidRPr="00E81B25">
          <w:rPr>
            <w:rStyle w:val="Hyperlink"/>
            <w:noProof/>
            <w:lang w:val="en-US"/>
          </w:rPr>
          <w:t xml:space="preserve"> Recent survey on RF components showed that insertion loss difference ranges from 1.2dB to 2dB.</w:t>
        </w:r>
      </w:hyperlink>
    </w:p>
    <w:p w14:paraId="2ADCA7A2" w14:textId="688E2F86" w:rsidR="0087423A" w:rsidRDefault="009526C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8776609" w:history="1">
        <w:r w:rsidR="0087423A" w:rsidRPr="00E81B25">
          <w:rPr>
            <w:rStyle w:val="Hyperlink"/>
            <w:b/>
            <w:noProof/>
            <w:lang w:val="en-US"/>
          </w:rPr>
          <w:t>Observation 4:</w:t>
        </w:r>
        <w:r w:rsidR="0087423A" w:rsidRPr="00E81B25">
          <w:rPr>
            <w:rStyle w:val="Hyperlink"/>
            <w:noProof/>
          </w:rPr>
          <w:t xml:space="preserve"> There are no TDD bands in NTN, so sticking to 0dB tightening is unjustified.</w:t>
        </w:r>
      </w:hyperlink>
    </w:p>
    <w:p w14:paraId="6E17BA3B" w14:textId="7B2E5812" w:rsidR="0087423A" w:rsidRDefault="009526C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8776610" w:history="1">
        <w:r w:rsidR="0087423A" w:rsidRPr="00E81B25">
          <w:rPr>
            <w:rStyle w:val="Hyperlink"/>
            <w:noProof/>
            <w:lang w:val="en-US"/>
          </w:rPr>
          <w:t>Proposal 1: Utilize 0.8dB of tightening for both n255 and n254.</w:t>
        </w:r>
      </w:hyperlink>
    </w:p>
    <w:p w14:paraId="1F50551C" w14:textId="5A1A12FA" w:rsidR="0087423A" w:rsidRDefault="009526C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8776611" w:history="1">
        <w:r w:rsidR="0087423A" w:rsidRPr="00E81B25">
          <w:rPr>
            <w:rStyle w:val="Hyperlink"/>
            <w:noProof/>
            <w:lang w:eastAsia="zh-CN"/>
          </w:rPr>
          <w:t xml:space="preserve">Further, regarding issues with n254 UL, it was a problem with normal NTN UEs too and mechanisms were discussed </w:t>
        </w:r>
        <w:r w:rsidR="0087423A" w:rsidRPr="00E81B25">
          <w:rPr>
            <w:rStyle w:val="Hyperlink"/>
            <w:noProof/>
          </w:rPr>
          <w:t>under the WI In-Device Co-existence (IDC) enhancements for NR and MR-DC [4].</w:t>
        </w:r>
      </w:hyperlink>
    </w:p>
    <w:p w14:paraId="67DDC765" w14:textId="61EF6178" w:rsidR="0087423A" w:rsidRDefault="009526C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8776612" w:history="1">
        <w:r w:rsidR="0087423A" w:rsidRPr="00E81B25">
          <w:rPr>
            <w:rStyle w:val="Hyperlink"/>
            <w:b/>
            <w:noProof/>
            <w:lang w:eastAsia="zh-CN"/>
          </w:rPr>
          <w:t>Observation 5:</w:t>
        </w:r>
        <w:r w:rsidR="0087423A" w:rsidRPr="00E81B25">
          <w:rPr>
            <w:rStyle w:val="Hyperlink"/>
            <w:noProof/>
            <w:lang w:eastAsia="zh-CN"/>
          </w:rPr>
          <w:t xml:space="preserve"> RAN4 have agreement that protection of GNSS shall be ensured.</w:t>
        </w:r>
      </w:hyperlink>
    </w:p>
    <w:p w14:paraId="42375EAF" w14:textId="07C6DAC4" w:rsidR="0087423A" w:rsidRDefault="009526C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8776613" w:history="1">
        <w:r w:rsidR="0087423A" w:rsidRPr="00E81B25">
          <w:rPr>
            <w:rStyle w:val="Hyperlink"/>
            <w:b/>
            <w:noProof/>
            <w:lang w:eastAsia="zh-CN"/>
          </w:rPr>
          <w:t>Observation 6:</w:t>
        </w:r>
        <w:r w:rsidR="0087423A" w:rsidRPr="00E81B25">
          <w:rPr>
            <w:rStyle w:val="Hyperlink"/>
            <w:noProof/>
            <w:lang w:eastAsia="zh-CN"/>
          </w:rPr>
          <w:t xml:space="preserve"> UL in n254 was discussed for NTN UEs and was tackled under IDC co-existence WI.</w:t>
        </w:r>
      </w:hyperlink>
    </w:p>
    <w:p w14:paraId="6138361D" w14:textId="49EC24D6" w:rsidR="0087423A" w:rsidRDefault="009526C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8776614" w:history="1">
        <w:r w:rsidR="0087423A" w:rsidRPr="00E81B25">
          <w:rPr>
            <w:rStyle w:val="Hyperlink"/>
            <w:noProof/>
            <w:lang w:eastAsia="zh-CN"/>
          </w:rPr>
          <w:t>Proposal 2: No impact to RAN4 regarding simultaneous operation of RedCap/eRedCap NTN UEs with GNSS.</w:t>
        </w:r>
      </w:hyperlink>
    </w:p>
    <w:p w14:paraId="4480EEDF" w14:textId="6446F24C" w:rsidR="0087423A" w:rsidRDefault="009526C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8776615" w:history="1">
        <w:r w:rsidR="0087423A" w:rsidRPr="00E81B25">
          <w:rPr>
            <w:rStyle w:val="Hyperlink"/>
            <w:b/>
            <w:noProof/>
            <w:lang w:val="en-US"/>
          </w:rPr>
          <w:t>Observation 7:</w:t>
        </w:r>
        <w:r w:rsidR="0087423A" w:rsidRPr="00E81B25">
          <w:rPr>
            <w:rStyle w:val="Hyperlink"/>
            <w:noProof/>
            <w:lang w:val="en-US"/>
          </w:rPr>
          <w:t xml:space="preserve"> Changing PC3 level for HD-FDD in NTN context is not a good approach.</w:t>
        </w:r>
      </w:hyperlink>
    </w:p>
    <w:p w14:paraId="2158AFEA" w14:textId="380D3BCC" w:rsidR="0087423A" w:rsidRDefault="009526C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8776616" w:history="1">
        <w:r w:rsidR="0087423A" w:rsidRPr="00E81B25">
          <w:rPr>
            <w:rStyle w:val="Hyperlink"/>
            <w:noProof/>
            <w:lang w:val="en-US"/>
          </w:rPr>
          <w:t>Proposal 3: PC3 power level should be the same in NTN and TN context.</w:t>
        </w:r>
      </w:hyperlink>
    </w:p>
    <w:p w14:paraId="4D3664A1" w14:textId="626161BF" w:rsidR="00847264" w:rsidRPr="00614DD8" w:rsidRDefault="00A4355E" w:rsidP="008C39F7">
      <w:pPr>
        <w:rPr>
          <w:lang w:val="en-US"/>
        </w:rPr>
      </w:pPr>
      <w:r w:rsidRPr="00614DD8">
        <w:rPr>
          <w:lang w:val="en-US"/>
        </w:rPr>
        <w:fldChar w:fldCharType="end"/>
      </w:r>
      <w:bookmarkStart w:id="23" w:name="_Toc116995849"/>
    </w:p>
    <w:p w14:paraId="3ABF4D34"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3"/>
    </w:p>
    <w:p w14:paraId="36AEAF0E" w14:textId="77777777" w:rsidR="00CA05EB" w:rsidRDefault="00CA05EB" w:rsidP="00CA05EB">
      <w:pPr>
        <w:pStyle w:val="ListParagraph"/>
        <w:numPr>
          <w:ilvl w:val="0"/>
          <w:numId w:val="21"/>
        </w:numPr>
        <w:ind w:right="-22"/>
        <w:rPr>
          <w:lang w:val="en-US"/>
        </w:rPr>
      </w:pPr>
      <w:bookmarkStart w:id="24" w:name="_Ref114500673"/>
      <w:bookmarkStart w:id="25" w:name="_Ref178760918"/>
      <w:bookmarkStart w:id="26" w:name="_Ref165543298"/>
      <w:bookmarkEnd w:id="24"/>
      <w:r w:rsidRPr="00614DD8">
        <w:rPr>
          <w:lang w:val="en-US"/>
        </w:rPr>
        <w:t>R</w:t>
      </w:r>
      <w:r>
        <w:rPr>
          <w:lang w:val="en-US"/>
        </w:rPr>
        <w:t>P</w:t>
      </w:r>
      <w:r w:rsidRPr="00614DD8">
        <w:rPr>
          <w:lang w:val="en-US"/>
        </w:rPr>
        <w:t>-</w:t>
      </w:r>
      <w:r>
        <w:rPr>
          <w:lang w:val="en-US"/>
        </w:rPr>
        <w:t>240775</w:t>
      </w:r>
      <w:r w:rsidRPr="00614DD8">
        <w:rPr>
          <w:lang w:val="en-US"/>
        </w:rPr>
        <w:t xml:space="preserve">, </w:t>
      </w:r>
      <w:r>
        <w:rPr>
          <w:lang w:val="en-US"/>
        </w:rPr>
        <w:t>Revised WID: Non-Terrestrial Networks (NTN) for NR Phase 3</w:t>
      </w:r>
      <w:r w:rsidRPr="00614DD8">
        <w:rPr>
          <w:lang w:val="en-US"/>
        </w:rPr>
        <w:t>, RAN#10</w:t>
      </w:r>
      <w:r>
        <w:rPr>
          <w:lang w:val="en-US"/>
        </w:rPr>
        <w:t>3</w:t>
      </w:r>
      <w:r w:rsidRPr="00614DD8">
        <w:rPr>
          <w:lang w:val="en-US"/>
        </w:rPr>
        <w:t xml:space="preserve">, </w:t>
      </w:r>
      <w:r>
        <w:rPr>
          <w:lang w:val="en-US"/>
        </w:rPr>
        <w:t>Maastricht</w:t>
      </w:r>
      <w:r w:rsidRPr="00614DD8">
        <w:rPr>
          <w:lang w:val="en-US"/>
        </w:rPr>
        <w:t xml:space="preserve">, </w:t>
      </w:r>
      <w:r>
        <w:rPr>
          <w:lang w:val="en-US"/>
        </w:rPr>
        <w:t>Netherlands</w:t>
      </w:r>
      <w:r w:rsidRPr="00614DD8">
        <w:rPr>
          <w:lang w:val="en-US"/>
        </w:rPr>
        <w:t xml:space="preserve">, </w:t>
      </w:r>
      <w:r>
        <w:rPr>
          <w:lang w:val="en-US"/>
        </w:rPr>
        <w:t>18</w:t>
      </w:r>
      <w:r w:rsidRPr="00614DD8">
        <w:rPr>
          <w:lang w:val="en-US"/>
        </w:rPr>
        <w:t xml:space="preserve"> – 2</w:t>
      </w:r>
      <w:r>
        <w:rPr>
          <w:lang w:val="en-US"/>
        </w:rPr>
        <w:t>2</w:t>
      </w:r>
      <w:r w:rsidRPr="00614DD8">
        <w:rPr>
          <w:lang w:val="en-US"/>
        </w:rPr>
        <w:t xml:space="preserve"> </w:t>
      </w:r>
      <w:r>
        <w:rPr>
          <w:lang w:val="en-US"/>
        </w:rPr>
        <w:t>March</w:t>
      </w:r>
      <w:r w:rsidRPr="00614DD8">
        <w:rPr>
          <w:lang w:val="en-US"/>
        </w:rPr>
        <w:t xml:space="preserve"> 202</w:t>
      </w:r>
      <w:r>
        <w:rPr>
          <w:lang w:val="en-US"/>
        </w:rPr>
        <w:t>3</w:t>
      </w:r>
      <w:r w:rsidRPr="00614DD8">
        <w:rPr>
          <w:lang w:val="en-US"/>
        </w:rPr>
        <w:t>.</w:t>
      </w:r>
      <w:bookmarkEnd w:id="25"/>
    </w:p>
    <w:p w14:paraId="3DA4491C" w14:textId="5F7D00DC" w:rsidR="00E43BF9" w:rsidRDefault="00CA05EB" w:rsidP="00E43BF9">
      <w:pPr>
        <w:pStyle w:val="ListParagraph"/>
        <w:numPr>
          <w:ilvl w:val="0"/>
          <w:numId w:val="21"/>
        </w:numPr>
        <w:spacing w:line="256" w:lineRule="auto"/>
        <w:ind w:right="-22"/>
        <w:rPr>
          <w:lang w:val="en-US"/>
        </w:rPr>
      </w:pPr>
      <w:bookmarkStart w:id="27" w:name="_Ref166227081"/>
      <w:r>
        <w:rPr>
          <w:lang w:val="en-US"/>
        </w:rPr>
        <w:t>R4-241</w:t>
      </w:r>
      <w:r w:rsidR="004E64CC">
        <w:rPr>
          <w:lang w:val="en-US"/>
        </w:rPr>
        <w:t>3527</w:t>
      </w:r>
      <w:r>
        <w:rPr>
          <w:lang w:val="en-US"/>
        </w:rPr>
        <w:t xml:space="preserve">, </w:t>
      </w:r>
      <w:r w:rsidR="004E64CC" w:rsidRPr="004E64CC">
        <w:t>Way Forward for [112][311] NR_NTN_Ph3_UE_RF</w:t>
      </w:r>
      <w:r>
        <w:rPr>
          <w:lang w:val="en-US"/>
        </w:rPr>
        <w:t xml:space="preserve">, Qualcomm Inc, </w:t>
      </w:r>
      <w:r w:rsidRPr="00614DD8">
        <w:rPr>
          <w:lang w:val="en-US"/>
        </w:rPr>
        <w:t>RAN4#1</w:t>
      </w:r>
      <w:r>
        <w:rPr>
          <w:lang w:val="en-US"/>
        </w:rPr>
        <w:t>1</w:t>
      </w:r>
      <w:r w:rsidR="0009601E">
        <w:rPr>
          <w:lang w:val="en-US"/>
        </w:rPr>
        <w:t>2</w:t>
      </w:r>
      <w:r w:rsidRPr="00614DD8">
        <w:rPr>
          <w:lang w:val="en-US"/>
        </w:rPr>
        <w:t xml:space="preserve">, </w:t>
      </w:r>
      <w:r w:rsidR="0009601E">
        <w:rPr>
          <w:lang w:val="en-US"/>
        </w:rPr>
        <w:t>Maastricht</w:t>
      </w:r>
      <w:r w:rsidR="0009601E" w:rsidRPr="00614DD8">
        <w:rPr>
          <w:lang w:val="en-US"/>
        </w:rPr>
        <w:t xml:space="preserve">, </w:t>
      </w:r>
      <w:r w:rsidR="0009601E">
        <w:rPr>
          <w:lang w:val="en-US"/>
        </w:rPr>
        <w:t>Netherlands</w:t>
      </w:r>
      <w:r w:rsidR="0009601E" w:rsidRPr="00614DD8">
        <w:rPr>
          <w:lang w:val="en-US"/>
        </w:rPr>
        <w:t xml:space="preserve">, </w:t>
      </w:r>
      <w:r w:rsidR="0009601E">
        <w:rPr>
          <w:lang w:val="en-US"/>
        </w:rPr>
        <w:t>19</w:t>
      </w:r>
      <w:r w:rsidR="0009601E" w:rsidRPr="00614DD8">
        <w:rPr>
          <w:lang w:val="en-US"/>
        </w:rPr>
        <w:t xml:space="preserve"> – 2</w:t>
      </w:r>
      <w:r w:rsidR="0009601E">
        <w:rPr>
          <w:lang w:val="en-US"/>
        </w:rPr>
        <w:t>3</w:t>
      </w:r>
      <w:r w:rsidR="0009601E" w:rsidRPr="00614DD8">
        <w:rPr>
          <w:lang w:val="en-US"/>
        </w:rPr>
        <w:t xml:space="preserve"> </w:t>
      </w:r>
      <w:r w:rsidR="0009601E">
        <w:rPr>
          <w:lang w:val="en-US"/>
        </w:rPr>
        <w:t>August</w:t>
      </w:r>
      <w:r w:rsidRPr="00614DD8">
        <w:rPr>
          <w:lang w:val="en-US"/>
        </w:rPr>
        <w:t xml:space="preserve"> 202</w:t>
      </w:r>
      <w:r>
        <w:rPr>
          <w:lang w:val="en-US"/>
        </w:rPr>
        <w:t>4.</w:t>
      </w:r>
      <w:bookmarkEnd w:id="26"/>
      <w:bookmarkEnd w:id="27"/>
    </w:p>
    <w:p w14:paraId="361717E1" w14:textId="77777777" w:rsidR="0056531E" w:rsidRDefault="008437E9" w:rsidP="0056531E">
      <w:pPr>
        <w:pStyle w:val="ListParagraph"/>
        <w:numPr>
          <w:ilvl w:val="0"/>
          <w:numId w:val="21"/>
        </w:numPr>
      </w:pPr>
      <w:bookmarkStart w:id="28" w:name="_Ref178769324"/>
      <w:r w:rsidRPr="00A01CAD">
        <w:rPr>
          <w:lang w:val="en-US"/>
        </w:rPr>
        <w:t>R4-2200442</w:t>
      </w:r>
      <w:r>
        <w:rPr>
          <w:lang w:val="en-US"/>
        </w:rPr>
        <w:t xml:space="preserve">, </w:t>
      </w:r>
      <w:proofErr w:type="spellStart"/>
      <w:r w:rsidRPr="008437E9">
        <w:t>RedCap</w:t>
      </w:r>
      <w:proofErr w:type="spellEnd"/>
      <w:r w:rsidRPr="008437E9">
        <w:t xml:space="preserve"> UE HD-FDD REFSENS requirements</w:t>
      </w:r>
      <w:r>
        <w:t>,</w:t>
      </w:r>
      <w:r w:rsidRPr="00A01CAD">
        <w:rPr>
          <w:lang w:val="en-US"/>
        </w:rPr>
        <w:t xml:space="preserve"> Apple</w:t>
      </w:r>
      <w:r>
        <w:rPr>
          <w:lang w:val="en-US"/>
        </w:rPr>
        <w:t>, RAN4#101bis-e, Online, January 17</w:t>
      </w:r>
      <w:r w:rsidRPr="00614DD8">
        <w:rPr>
          <w:lang w:val="en-US"/>
        </w:rPr>
        <w:t xml:space="preserve"> – 2</w:t>
      </w:r>
      <w:r>
        <w:rPr>
          <w:lang w:val="en-US"/>
        </w:rPr>
        <w:t xml:space="preserve">5 </w:t>
      </w:r>
      <w:r w:rsidRPr="00614DD8">
        <w:rPr>
          <w:lang w:val="en-US"/>
        </w:rPr>
        <w:t>202</w:t>
      </w:r>
      <w:r>
        <w:rPr>
          <w:lang w:val="en-US"/>
        </w:rPr>
        <w:t>2.</w:t>
      </w:r>
      <w:bookmarkEnd w:id="28"/>
      <w:r w:rsidR="0056531E" w:rsidRPr="0056531E">
        <w:t xml:space="preserve"> </w:t>
      </w:r>
    </w:p>
    <w:p w14:paraId="3646D179" w14:textId="4D830301" w:rsidR="0056531E" w:rsidRDefault="0056531E" w:rsidP="0056531E">
      <w:pPr>
        <w:pStyle w:val="ListParagraph"/>
        <w:numPr>
          <w:ilvl w:val="0"/>
          <w:numId w:val="21"/>
        </w:numPr>
      </w:pPr>
      <w:bookmarkStart w:id="29" w:name="_Ref178775278"/>
      <w:r w:rsidRPr="009F44D1">
        <w:t>RP-221281</w:t>
      </w:r>
      <w:r w:rsidRPr="007B7B69">
        <w:t>: New WI: In-Device Co-existence (IDC) enhancements for NR and MR-DC</w:t>
      </w:r>
      <w:bookmarkEnd w:id="29"/>
    </w:p>
    <w:p w14:paraId="002D5AB0" w14:textId="55DEE546" w:rsidR="008437E9" w:rsidRDefault="008437E9" w:rsidP="0056531E">
      <w:pPr>
        <w:pStyle w:val="BodyText"/>
        <w:ind w:left="720"/>
        <w:jc w:val="both"/>
        <w:rPr>
          <w:lang w:val="en-US"/>
        </w:rPr>
      </w:pPr>
    </w:p>
    <w:p w14:paraId="326C4F5C" w14:textId="77777777" w:rsidR="008437E9" w:rsidRPr="00CA05EB" w:rsidRDefault="008437E9" w:rsidP="008437E9">
      <w:pPr>
        <w:pStyle w:val="ListParagraph"/>
        <w:spacing w:line="256" w:lineRule="auto"/>
        <w:ind w:right="-22"/>
        <w:rPr>
          <w:lang w:val="en-US"/>
        </w:rPr>
      </w:pPr>
    </w:p>
    <w:sectPr w:rsidR="008437E9" w:rsidRPr="00CA05E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DE223" w14:textId="77777777" w:rsidR="00642AAE" w:rsidRDefault="00642AAE" w:rsidP="00001C9B">
      <w:pPr>
        <w:spacing w:after="0" w:line="240" w:lineRule="auto"/>
      </w:pPr>
      <w:r>
        <w:separator/>
      </w:r>
    </w:p>
  </w:endnote>
  <w:endnote w:type="continuationSeparator" w:id="0">
    <w:p w14:paraId="260932E4" w14:textId="77777777" w:rsidR="00642AAE" w:rsidRDefault="00642AAE" w:rsidP="00001C9B">
      <w:pPr>
        <w:spacing w:after="0" w:line="240" w:lineRule="auto"/>
      </w:pPr>
      <w:r>
        <w:continuationSeparator/>
      </w:r>
    </w:p>
  </w:endnote>
  <w:endnote w:type="continuationNotice" w:id="1">
    <w:p w14:paraId="1E4E0E96" w14:textId="77777777" w:rsidR="00D201C1" w:rsidRDefault="00D20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818ED" w14:textId="77777777" w:rsidR="00642AAE" w:rsidRDefault="00642AAE" w:rsidP="00001C9B">
      <w:pPr>
        <w:spacing w:after="0" w:line="240" w:lineRule="auto"/>
      </w:pPr>
      <w:r>
        <w:separator/>
      </w:r>
    </w:p>
  </w:footnote>
  <w:footnote w:type="continuationSeparator" w:id="0">
    <w:p w14:paraId="6B2845A5" w14:textId="77777777" w:rsidR="00642AAE" w:rsidRDefault="00642AAE" w:rsidP="00001C9B">
      <w:pPr>
        <w:spacing w:after="0" w:line="240" w:lineRule="auto"/>
      </w:pPr>
      <w:r>
        <w:continuationSeparator/>
      </w:r>
    </w:p>
  </w:footnote>
  <w:footnote w:type="continuationNotice" w:id="1">
    <w:p w14:paraId="13E27F79" w14:textId="77777777" w:rsidR="00D201C1" w:rsidRDefault="00D201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4F5744"/>
    <w:multiLevelType w:val="multilevel"/>
    <w:tmpl w:val="434C0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075849"/>
    <w:multiLevelType w:val="hybridMultilevel"/>
    <w:tmpl w:val="AFCCA266"/>
    <w:lvl w:ilvl="0" w:tplc="1D2EC6A2">
      <w:start w:val="5"/>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20"/>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5"/>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8"/>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11775096">
    <w:abstractNumId w:val="23"/>
  </w:num>
  <w:num w:numId="28" w16cid:durableId="1049035517">
    <w:abstractNumId w:val="8"/>
  </w:num>
  <w:num w:numId="29" w16cid:durableId="1841003140">
    <w:abstractNumId w:val="17"/>
  </w:num>
  <w:num w:numId="30" w16cid:durableId="1508253574">
    <w:abstractNumId w:val="9"/>
  </w:num>
  <w:num w:numId="31" w16cid:durableId="2092119824">
    <w:abstractNumId w:val="10"/>
  </w:num>
  <w:num w:numId="32" w16cid:durableId="1956401505">
    <w:abstractNumId w:val="22"/>
  </w:num>
  <w:num w:numId="33" w16cid:durableId="1557742387">
    <w:abstractNumId w:val="16"/>
  </w:num>
  <w:num w:numId="34" w16cid:durableId="542862058">
    <w:abstractNumId w:val="3"/>
  </w:num>
  <w:num w:numId="35" w16cid:durableId="1192573236">
    <w:abstractNumId w:val="4"/>
  </w:num>
  <w:num w:numId="36" w16cid:durableId="630398689">
    <w:abstractNumId w:val="19"/>
  </w:num>
  <w:num w:numId="37" w16cid:durableId="90710986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12745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42AAE"/>
    <w:rsid w:val="00001C9B"/>
    <w:rsid w:val="000040DC"/>
    <w:rsid w:val="00011784"/>
    <w:rsid w:val="000151EF"/>
    <w:rsid w:val="000239F5"/>
    <w:rsid w:val="00072CCA"/>
    <w:rsid w:val="0008612A"/>
    <w:rsid w:val="00090E18"/>
    <w:rsid w:val="0009601E"/>
    <w:rsid w:val="000A10BC"/>
    <w:rsid w:val="000A7F53"/>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26AB"/>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5DC7"/>
    <w:rsid w:val="00366B74"/>
    <w:rsid w:val="003774C0"/>
    <w:rsid w:val="00381F95"/>
    <w:rsid w:val="00393B2B"/>
    <w:rsid w:val="003967F6"/>
    <w:rsid w:val="003A710A"/>
    <w:rsid w:val="003B659E"/>
    <w:rsid w:val="003C275E"/>
    <w:rsid w:val="003C4FDE"/>
    <w:rsid w:val="003E58DF"/>
    <w:rsid w:val="00404C4C"/>
    <w:rsid w:val="004110EE"/>
    <w:rsid w:val="0041423F"/>
    <w:rsid w:val="00414F81"/>
    <w:rsid w:val="00436A0F"/>
    <w:rsid w:val="00437150"/>
    <w:rsid w:val="0043750A"/>
    <w:rsid w:val="00447577"/>
    <w:rsid w:val="004732E9"/>
    <w:rsid w:val="004854BB"/>
    <w:rsid w:val="00494493"/>
    <w:rsid w:val="00496606"/>
    <w:rsid w:val="004E5E66"/>
    <w:rsid w:val="004E64CC"/>
    <w:rsid w:val="004E7ADB"/>
    <w:rsid w:val="00503B4D"/>
    <w:rsid w:val="005049A2"/>
    <w:rsid w:val="00504EE9"/>
    <w:rsid w:val="00514E4F"/>
    <w:rsid w:val="00521576"/>
    <w:rsid w:val="005250E6"/>
    <w:rsid w:val="00542D23"/>
    <w:rsid w:val="005437DA"/>
    <w:rsid w:val="0054442C"/>
    <w:rsid w:val="00550285"/>
    <w:rsid w:val="00562492"/>
    <w:rsid w:val="0056531E"/>
    <w:rsid w:val="00572A20"/>
    <w:rsid w:val="00581618"/>
    <w:rsid w:val="005836F8"/>
    <w:rsid w:val="005918FA"/>
    <w:rsid w:val="00592A86"/>
    <w:rsid w:val="005B3029"/>
    <w:rsid w:val="005B4801"/>
    <w:rsid w:val="005C23A4"/>
    <w:rsid w:val="005D1CDF"/>
    <w:rsid w:val="005D2BB7"/>
    <w:rsid w:val="005D4DFA"/>
    <w:rsid w:val="005D6FFE"/>
    <w:rsid w:val="005E1565"/>
    <w:rsid w:val="005E61A8"/>
    <w:rsid w:val="005F6419"/>
    <w:rsid w:val="0060301D"/>
    <w:rsid w:val="0060543D"/>
    <w:rsid w:val="006104DD"/>
    <w:rsid w:val="006130B5"/>
    <w:rsid w:val="00614DD8"/>
    <w:rsid w:val="00617400"/>
    <w:rsid w:val="00632D29"/>
    <w:rsid w:val="00642AAE"/>
    <w:rsid w:val="00664950"/>
    <w:rsid w:val="00683220"/>
    <w:rsid w:val="00687FA0"/>
    <w:rsid w:val="006A3C11"/>
    <w:rsid w:val="006B7010"/>
    <w:rsid w:val="006C3095"/>
    <w:rsid w:val="006E1151"/>
    <w:rsid w:val="006E6311"/>
    <w:rsid w:val="00710159"/>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D6906"/>
    <w:rsid w:val="007E42DC"/>
    <w:rsid w:val="007F54B9"/>
    <w:rsid w:val="00806A76"/>
    <w:rsid w:val="00811C9D"/>
    <w:rsid w:val="00816C80"/>
    <w:rsid w:val="0081797B"/>
    <w:rsid w:val="0082796A"/>
    <w:rsid w:val="0083707A"/>
    <w:rsid w:val="00841BCD"/>
    <w:rsid w:val="008437E9"/>
    <w:rsid w:val="00845DB0"/>
    <w:rsid w:val="00847264"/>
    <w:rsid w:val="00851A8E"/>
    <w:rsid w:val="0085365B"/>
    <w:rsid w:val="008706C5"/>
    <w:rsid w:val="0087423A"/>
    <w:rsid w:val="008826C1"/>
    <w:rsid w:val="00883DFD"/>
    <w:rsid w:val="0089210C"/>
    <w:rsid w:val="00893D2E"/>
    <w:rsid w:val="008A1BF7"/>
    <w:rsid w:val="008A5B0E"/>
    <w:rsid w:val="008B0961"/>
    <w:rsid w:val="008C39F7"/>
    <w:rsid w:val="0090091A"/>
    <w:rsid w:val="0090373B"/>
    <w:rsid w:val="009042BD"/>
    <w:rsid w:val="00904FE4"/>
    <w:rsid w:val="00927740"/>
    <w:rsid w:val="00936159"/>
    <w:rsid w:val="009526C7"/>
    <w:rsid w:val="00977E1D"/>
    <w:rsid w:val="009A4EA1"/>
    <w:rsid w:val="009B0573"/>
    <w:rsid w:val="009B7B4B"/>
    <w:rsid w:val="009B7C21"/>
    <w:rsid w:val="009E4E6E"/>
    <w:rsid w:val="00A04325"/>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64E8A"/>
    <w:rsid w:val="00B66B7D"/>
    <w:rsid w:val="00B73862"/>
    <w:rsid w:val="00B73F43"/>
    <w:rsid w:val="00B75BBF"/>
    <w:rsid w:val="00B81CDC"/>
    <w:rsid w:val="00BA308C"/>
    <w:rsid w:val="00BA697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05EB"/>
    <w:rsid w:val="00CA180C"/>
    <w:rsid w:val="00CB22B2"/>
    <w:rsid w:val="00CC3EE2"/>
    <w:rsid w:val="00CD7492"/>
    <w:rsid w:val="00CE3A6B"/>
    <w:rsid w:val="00D00211"/>
    <w:rsid w:val="00D006D1"/>
    <w:rsid w:val="00D025AE"/>
    <w:rsid w:val="00D049E2"/>
    <w:rsid w:val="00D06309"/>
    <w:rsid w:val="00D201C1"/>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47BC6"/>
    <w:rsid w:val="00E51930"/>
    <w:rsid w:val="00E55751"/>
    <w:rsid w:val="00E7398E"/>
    <w:rsid w:val="00E82B94"/>
    <w:rsid w:val="00EA2311"/>
    <w:rsid w:val="00EC7BC3"/>
    <w:rsid w:val="00ED7600"/>
    <w:rsid w:val="00EE23F6"/>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92C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437E9"/>
    <w:pPr>
      <w:spacing w:after="120" w:line="240" w:lineRule="auto"/>
    </w:pPr>
    <w:rPr>
      <w:rFonts w:eastAsia="Times New Roman" w:cs="Times New Roman"/>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37E9"/>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D201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01C1"/>
    <w:rPr>
      <w:rFonts w:ascii="Times New Roman" w:hAnsi="Times New Roman"/>
      <w:sz w:val="20"/>
      <w:lang w:val="en-GB"/>
    </w:rPr>
  </w:style>
  <w:style w:type="paragraph" w:styleId="Footer">
    <w:name w:val="footer"/>
    <w:basedOn w:val="Normal"/>
    <w:link w:val="FooterChar"/>
    <w:uiPriority w:val="99"/>
    <w:unhideWhenUsed/>
    <w:rsid w:val="00D201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01C1"/>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180285">
      <w:bodyDiv w:val="1"/>
      <w:marLeft w:val="0"/>
      <w:marRight w:val="0"/>
      <w:marTop w:val="0"/>
      <w:marBottom w:val="0"/>
      <w:divBdr>
        <w:top w:val="none" w:sz="0" w:space="0" w:color="auto"/>
        <w:left w:val="none" w:sz="0" w:space="0" w:color="auto"/>
        <w:bottom w:val="none" w:sz="0" w:space="0" w:color="auto"/>
        <w:right w:val="none" w:sz="0" w:space="0" w:color="auto"/>
      </w:divBdr>
    </w:div>
    <w:div w:id="1261646352">
      <w:bodyDiv w:val="1"/>
      <w:marLeft w:val="0"/>
      <w:marRight w:val="0"/>
      <w:marTop w:val="0"/>
      <w:marBottom w:val="0"/>
      <w:divBdr>
        <w:top w:val="none" w:sz="0" w:space="0" w:color="auto"/>
        <w:left w:val="none" w:sz="0" w:space="0" w:color="auto"/>
        <w:bottom w:val="none" w:sz="0" w:space="0" w:color="auto"/>
        <w:right w:val="none" w:sz="0" w:space="0" w:color="auto"/>
      </w:divBdr>
    </w:div>
    <w:div w:id="1355879889">
      <w:bodyDiv w:val="1"/>
      <w:marLeft w:val="0"/>
      <w:marRight w:val="0"/>
      <w:marTop w:val="0"/>
      <w:marBottom w:val="0"/>
      <w:divBdr>
        <w:top w:val="none" w:sz="0" w:space="0" w:color="auto"/>
        <w:left w:val="none" w:sz="0" w:space="0" w:color="auto"/>
        <w:bottom w:val="none" w:sz="0" w:space="0" w:color="auto"/>
        <w:right w:val="none" w:sz="0" w:space="0" w:color="auto"/>
      </w:divBdr>
    </w:div>
    <w:div w:id="1521312680">
      <w:bodyDiv w:val="1"/>
      <w:marLeft w:val="0"/>
      <w:marRight w:val="0"/>
      <w:marTop w:val="0"/>
      <w:marBottom w:val="0"/>
      <w:divBdr>
        <w:top w:val="none" w:sz="0" w:space="0" w:color="auto"/>
        <w:left w:val="none" w:sz="0" w:space="0" w:color="auto"/>
        <w:bottom w:val="none" w:sz="0" w:space="0" w:color="auto"/>
        <w:right w:val="none" w:sz="0" w:space="0" w:color="auto"/>
      </w:divBdr>
    </w:div>
    <w:div w:id="157813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2024-10-06T16:48:00Z</dcterms:created>
  <dcterms:modified xsi:type="dcterms:W3CDTF">2024-10-06T16:48:00Z</dcterms:modified>
</cp:coreProperties>
</file>